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C8F5D" w14:textId="77777777"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14:paraId="1594AC25" w14:textId="493B2C56" w:rsidR="00DE35A4" w:rsidRDefault="00DE35A4" w:rsidP="006E24F9">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194A1D">
        <w:rPr>
          <w:rFonts w:ascii="Century" w:hAnsi="Century"/>
          <w:b/>
          <w:sz w:val="24"/>
        </w:rPr>
        <w:t xml:space="preserve">5011 </w:t>
      </w:r>
      <w:r w:rsidR="003A71C1">
        <w:rPr>
          <w:rFonts w:ascii="Century" w:hAnsi="Century"/>
          <w:b/>
          <w:sz w:val="24"/>
        </w:rPr>
        <w:t>Gender Ideology</w:t>
      </w:r>
    </w:p>
    <w:p w14:paraId="06E17D7E" w14:textId="77777777" w:rsidR="006E24F9" w:rsidRPr="00964E27" w:rsidRDefault="006E24F9"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14:paraId="75266300" w14:textId="77777777" w:rsidTr="00F85A92">
        <w:trPr>
          <w:trHeight w:val="9800"/>
        </w:trPr>
        <w:tc>
          <w:tcPr>
            <w:tcW w:w="2695" w:type="dxa"/>
          </w:tcPr>
          <w:p w14:paraId="039CB441" w14:textId="77777777" w:rsidR="00643C09" w:rsidRPr="001B1CE3" w:rsidRDefault="00643C09" w:rsidP="00643C09">
            <w:pPr>
              <w:jc w:val="center"/>
              <w:rPr>
                <w:rFonts w:ascii="Century" w:hAnsi="Century"/>
              </w:rPr>
            </w:pPr>
          </w:p>
          <w:p w14:paraId="2DBBC68E" w14:textId="77777777" w:rsidR="00274880" w:rsidRPr="001B1CE3" w:rsidRDefault="00274880" w:rsidP="00643C09">
            <w:pPr>
              <w:jc w:val="center"/>
              <w:rPr>
                <w:rFonts w:ascii="Century" w:hAnsi="Century"/>
              </w:rPr>
            </w:pPr>
          </w:p>
        </w:tc>
        <w:tc>
          <w:tcPr>
            <w:tcW w:w="8190" w:type="dxa"/>
          </w:tcPr>
          <w:p w14:paraId="17BCFE1F" w14:textId="77777777" w:rsidR="00550A3C" w:rsidRDefault="00550A3C" w:rsidP="00550A3C">
            <w:pPr>
              <w:rPr>
                <w:rFonts w:ascii="Century" w:hAnsi="Century"/>
                <w:b/>
                <w:sz w:val="24"/>
                <w:szCs w:val="24"/>
              </w:rPr>
            </w:pPr>
          </w:p>
          <w:p w14:paraId="486D9825" w14:textId="77777777" w:rsidR="003A71C1" w:rsidRDefault="00194A1D" w:rsidP="003A71C1">
            <w:pPr>
              <w:jc w:val="center"/>
              <w:rPr>
                <w:rFonts w:ascii="Century" w:hAnsi="Century"/>
                <w:b/>
                <w:sz w:val="24"/>
                <w:szCs w:val="24"/>
              </w:rPr>
            </w:pPr>
            <w:r>
              <w:rPr>
                <w:rFonts w:ascii="Century" w:hAnsi="Century"/>
                <w:b/>
                <w:sz w:val="24"/>
                <w:szCs w:val="24"/>
              </w:rPr>
              <w:t>5011</w:t>
            </w:r>
            <w:r w:rsidR="003A71C1">
              <w:rPr>
                <w:rFonts w:ascii="Century" w:hAnsi="Century"/>
                <w:b/>
                <w:sz w:val="24"/>
                <w:szCs w:val="24"/>
              </w:rPr>
              <w:t xml:space="preserve"> Gender Ideology Policy</w:t>
            </w:r>
          </w:p>
          <w:p w14:paraId="2F7295B7" w14:textId="77777777" w:rsidR="003A71C1" w:rsidRDefault="003A71C1" w:rsidP="003A71C1">
            <w:pPr>
              <w:jc w:val="center"/>
              <w:rPr>
                <w:rFonts w:ascii="Century" w:hAnsi="Century"/>
                <w:b/>
                <w:sz w:val="24"/>
                <w:szCs w:val="24"/>
              </w:rPr>
            </w:pPr>
          </w:p>
          <w:p w14:paraId="59E651E4" w14:textId="77777777" w:rsidR="003A71C1" w:rsidRDefault="003A71C1" w:rsidP="003A71C1">
            <w:pPr>
              <w:rPr>
                <w:rFonts w:ascii="Century" w:hAnsi="Century"/>
                <w:b/>
                <w:sz w:val="24"/>
                <w:szCs w:val="24"/>
              </w:rPr>
            </w:pPr>
            <w:r>
              <w:rPr>
                <w:rFonts w:ascii="Century" w:hAnsi="Century"/>
                <w:b/>
                <w:sz w:val="24"/>
                <w:szCs w:val="24"/>
              </w:rPr>
              <w:t>Introduction</w:t>
            </w:r>
          </w:p>
          <w:p w14:paraId="73E06B72" w14:textId="77777777" w:rsidR="003A71C1" w:rsidRDefault="003A71C1" w:rsidP="003A71C1">
            <w:pPr>
              <w:rPr>
                <w:rFonts w:ascii="Century" w:hAnsi="Century"/>
                <w:b/>
                <w:sz w:val="24"/>
                <w:szCs w:val="24"/>
              </w:rPr>
            </w:pPr>
          </w:p>
          <w:p w14:paraId="0386E988" w14:textId="77777777" w:rsidR="003A71C1" w:rsidRPr="00536478" w:rsidRDefault="003A71C1" w:rsidP="003A71C1">
            <w:pPr>
              <w:rPr>
                <w:rFonts w:ascii="Century" w:hAnsi="Century"/>
                <w:color w:val="FF0000"/>
                <w:sz w:val="24"/>
                <w:szCs w:val="24"/>
              </w:rPr>
            </w:pPr>
            <w:r w:rsidRPr="00536478">
              <w:rPr>
                <w:rFonts w:ascii="Century" w:hAnsi="Century"/>
                <w:color w:val="000000" w:themeColor="text1"/>
                <w:sz w:val="24"/>
                <w:szCs w:val="24"/>
              </w:rPr>
              <w:t>In recent years, our culture has seen the rise of Gender Ideology, the idea that one’s own identity and biological sex are not necessarily connect</w:t>
            </w:r>
            <w:r w:rsidR="00536478">
              <w:rPr>
                <w:rFonts w:ascii="Century" w:hAnsi="Century"/>
                <w:color w:val="000000" w:themeColor="text1"/>
                <w:sz w:val="24"/>
                <w:szCs w:val="24"/>
              </w:rPr>
              <w:t>ed</w:t>
            </w:r>
            <w:r w:rsidRPr="00536478">
              <w:rPr>
                <w:rFonts w:ascii="Century" w:hAnsi="Century"/>
                <w:color w:val="000000" w:themeColor="text1"/>
                <w:sz w:val="24"/>
                <w:szCs w:val="24"/>
              </w:rPr>
              <w:t xml:space="preserve">, and sometimes contradictory. This Ideology claims that </w:t>
            </w:r>
            <w:r w:rsidR="00536478">
              <w:rPr>
                <w:rFonts w:ascii="Century" w:hAnsi="Century"/>
                <w:color w:val="000000" w:themeColor="text1"/>
                <w:sz w:val="24"/>
                <w:szCs w:val="24"/>
              </w:rPr>
              <w:t xml:space="preserve">a </w:t>
            </w:r>
            <w:r w:rsidRPr="00536478">
              <w:rPr>
                <w:rFonts w:ascii="Century" w:hAnsi="Century"/>
                <w:color w:val="000000" w:themeColor="text1"/>
                <w:sz w:val="24"/>
                <w:szCs w:val="24"/>
              </w:rPr>
              <w:t xml:space="preserve">person has the absolute right to determine his or her own identity, and gender, regardless of biology. As Gender Ideology has taken root, it has become more common for people, including children, to doubt their biological sex and to explore alternative identities. </w:t>
            </w:r>
          </w:p>
          <w:p w14:paraId="69B9B649" w14:textId="77777777" w:rsidR="003A71C1" w:rsidRPr="00536478" w:rsidRDefault="003A71C1" w:rsidP="003A71C1">
            <w:pPr>
              <w:rPr>
                <w:rFonts w:ascii="Century" w:hAnsi="Century"/>
                <w:color w:val="FF0000"/>
                <w:sz w:val="24"/>
                <w:szCs w:val="24"/>
              </w:rPr>
            </w:pPr>
          </w:p>
          <w:p w14:paraId="1492EAFC" w14:textId="77777777" w:rsidR="003A71C1" w:rsidRPr="00536478" w:rsidRDefault="003A71C1" w:rsidP="003A71C1">
            <w:pPr>
              <w:rPr>
                <w:rFonts w:ascii="Century" w:hAnsi="Century"/>
                <w:color w:val="000000" w:themeColor="text1"/>
                <w:sz w:val="24"/>
                <w:szCs w:val="24"/>
              </w:rPr>
            </w:pPr>
            <w:r w:rsidRPr="00536478">
              <w:rPr>
                <w:rFonts w:ascii="Century" w:hAnsi="Century"/>
                <w:color w:val="000000" w:themeColor="text1"/>
                <w:sz w:val="24"/>
                <w:szCs w:val="24"/>
              </w:rPr>
              <w:t>At this time of overall division in our society, our institutions</w:t>
            </w:r>
            <w:r w:rsidRPr="004B0C41">
              <w:rPr>
                <w:rFonts w:ascii="Century" w:hAnsi="Century"/>
                <w:color w:val="000000" w:themeColor="text1"/>
                <w:sz w:val="24"/>
                <w:szCs w:val="24"/>
              </w:rPr>
              <w:t>, including law, medicine, education, and more</w:t>
            </w:r>
            <w:r w:rsidR="003E0103" w:rsidRPr="004B0C41">
              <w:rPr>
                <w:rFonts w:ascii="Century" w:hAnsi="Century"/>
                <w:color w:val="000000" w:themeColor="text1"/>
                <w:sz w:val="24"/>
                <w:szCs w:val="24"/>
              </w:rPr>
              <w:t>,</w:t>
            </w:r>
            <w:r w:rsidRPr="00536478">
              <w:rPr>
                <w:rFonts w:ascii="Century" w:hAnsi="Century"/>
                <w:color w:val="FF0000"/>
                <w:sz w:val="24"/>
                <w:szCs w:val="24"/>
              </w:rPr>
              <w:t xml:space="preserve"> </w:t>
            </w:r>
            <w:r w:rsidRPr="00536478">
              <w:rPr>
                <w:rFonts w:ascii="Century" w:hAnsi="Century"/>
                <w:color w:val="000000" w:themeColor="text1"/>
                <w:sz w:val="24"/>
                <w:szCs w:val="24"/>
              </w:rPr>
              <w:t>are compelled to consider Gender Ideology and their response.</w:t>
            </w:r>
          </w:p>
          <w:p w14:paraId="49D69C7E" w14:textId="77777777" w:rsidR="003A71C1" w:rsidRPr="00536478" w:rsidRDefault="003A71C1" w:rsidP="003A71C1">
            <w:pPr>
              <w:rPr>
                <w:rFonts w:ascii="Century" w:hAnsi="Century"/>
                <w:color w:val="FF0000"/>
                <w:sz w:val="24"/>
                <w:szCs w:val="24"/>
              </w:rPr>
            </w:pPr>
          </w:p>
          <w:p w14:paraId="493E77B9" w14:textId="79E300B0" w:rsidR="003A71C1" w:rsidRDefault="004B0C41" w:rsidP="003A71C1">
            <w:pPr>
              <w:rPr>
                <w:rFonts w:ascii="Century" w:hAnsi="Century"/>
                <w:sz w:val="24"/>
                <w:szCs w:val="24"/>
              </w:rPr>
            </w:pPr>
            <w:r>
              <w:rPr>
                <w:rFonts w:ascii="Century" w:hAnsi="Century"/>
                <w:sz w:val="24"/>
                <w:szCs w:val="24"/>
              </w:rPr>
              <w:t>O</w:t>
            </w:r>
            <w:r w:rsidR="003A71C1">
              <w:rPr>
                <w:rFonts w:ascii="Century" w:hAnsi="Century"/>
                <w:sz w:val="24"/>
                <w:szCs w:val="24"/>
              </w:rPr>
              <w:t>ur approach is on</w:t>
            </w:r>
            <w:r>
              <w:rPr>
                <w:rFonts w:ascii="Century" w:hAnsi="Century"/>
                <w:sz w:val="24"/>
                <w:szCs w:val="24"/>
              </w:rPr>
              <w:t>e</w:t>
            </w:r>
            <w:r w:rsidR="003A71C1">
              <w:rPr>
                <w:rFonts w:ascii="Century" w:hAnsi="Century"/>
                <w:sz w:val="24"/>
                <w:szCs w:val="24"/>
              </w:rPr>
              <w:t xml:space="preserve"> that combines the </w:t>
            </w:r>
            <w:r w:rsidR="003A71C1">
              <w:rPr>
                <w:rFonts w:ascii="Century" w:hAnsi="Century"/>
                <w:i/>
                <w:sz w:val="24"/>
                <w:szCs w:val="24"/>
              </w:rPr>
              <w:t xml:space="preserve">clarity </w:t>
            </w:r>
            <w:r w:rsidR="003A71C1">
              <w:rPr>
                <w:rFonts w:ascii="Century" w:hAnsi="Century"/>
                <w:sz w:val="24"/>
                <w:szCs w:val="24"/>
              </w:rPr>
              <w:t xml:space="preserve">of what the Church teaches, with the </w:t>
            </w:r>
            <w:r w:rsidR="003A71C1">
              <w:rPr>
                <w:rFonts w:ascii="Century" w:hAnsi="Century"/>
                <w:i/>
                <w:sz w:val="24"/>
                <w:szCs w:val="24"/>
              </w:rPr>
              <w:t>charity</w:t>
            </w:r>
            <w:r w:rsidR="003A71C1">
              <w:rPr>
                <w:rFonts w:ascii="Century" w:hAnsi="Century"/>
                <w:sz w:val="24"/>
                <w:szCs w:val="24"/>
              </w:rPr>
              <w:t xml:space="preserve"> due to all people, as made in God’s image and likeness, but </w:t>
            </w:r>
            <w:r w:rsidR="003E0103">
              <w:rPr>
                <w:rFonts w:ascii="Century" w:hAnsi="Century"/>
                <w:sz w:val="24"/>
                <w:szCs w:val="24"/>
              </w:rPr>
              <w:t>particularly</w:t>
            </w:r>
            <w:r w:rsidR="003A71C1">
              <w:rPr>
                <w:rFonts w:ascii="Century" w:hAnsi="Century"/>
                <w:sz w:val="24"/>
                <w:szCs w:val="24"/>
              </w:rPr>
              <w:t xml:space="preserve"> important in such contentious, sensitive, and important matters. The words of Pope Saint Paul VI are important to keep in mind as well:</w:t>
            </w:r>
            <w:r w:rsidR="00536478">
              <w:rPr>
                <w:rFonts w:ascii="Century" w:hAnsi="Century"/>
                <w:sz w:val="24"/>
                <w:szCs w:val="24"/>
              </w:rPr>
              <w:t xml:space="preserve"> “[I]t is an outstand</w:t>
            </w:r>
            <w:r w:rsidR="002B47C7">
              <w:rPr>
                <w:rFonts w:ascii="Century" w:hAnsi="Century"/>
                <w:sz w:val="24"/>
                <w:szCs w:val="24"/>
              </w:rPr>
              <w:t>ing</w:t>
            </w:r>
            <w:r w:rsidR="00536478">
              <w:rPr>
                <w:rFonts w:ascii="Century" w:hAnsi="Century"/>
                <w:sz w:val="24"/>
                <w:szCs w:val="24"/>
              </w:rPr>
              <w:t xml:space="preserve"> manifestation of charity toward souls to omit nothing from the saving doctrine of Christ.” (</w:t>
            </w:r>
            <w:r w:rsidR="00536478">
              <w:rPr>
                <w:rFonts w:ascii="Century" w:hAnsi="Century"/>
                <w:i/>
                <w:sz w:val="24"/>
                <w:szCs w:val="24"/>
              </w:rPr>
              <w:t xml:space="preserve">Humane Vitae </w:t>
            </w:r>
            <w:r w:rsidR="00536478">
              <w:rPr>
                <w:rFonts w:ascii="Century" w:hAnsi="Century"/>
                <w:sz w:val="24"/>
                <w:szCs w:val="24"/>
              </w:rPr>
              <w:t>no. 29)</w:t>
            </w:r>
          </w:p>
          <w:p w14:paraId="7C83C7E6" w14:textId="77777777" w:rsidR="00536478" w:rsidRDefault="00536478" w:rsidP="003A71C1">
            <w:pPr>
              <w:rPr>
                <w:rFonts w:ascii="Century" w:hAnsi="Century"/>
                <w:sz w:val="24"/>
                <w:szCs w:val="24"/>
              </w:rPr>
            </w:pPr>
          </w:p>
          <w:p w14:paraId="6698BEA2" w14:textId="77777777" w:rsidR="00536478" w:rsidRDefault="00536478" w:rsidP="003A71C1">
            <w:pPr>
              <w:rPr>
                <w:rFonts w:ascii="Century" w:hAnsi="Century"/>
                <w:sz w:val="24"/>
                <w:szCs w:val="24"/>
              </w:rPr>
            </w:pPr>
            <w:r>
              <w:rPr>
                <w:rFonts w:ascii="Century" w:hAnsi="Century"/>
                <w:b/>
                <w:sz w:val="24"/>
                <w:szCs w:val="24"/>
              </w:rPr>
              <w:t>Church teaching</w:t>
            </w:r>
          </w:p>
          <w:p w14:paraId="0CD64544" w14:textId="77777777" w:rsidR="00536478" w:rsidRDefault="00536478" w:rsidP="003A71C1">
            <w:pPr>
              <w:rPr>
                <w:rFonts w:ascii="Century" w:hAnsi="Century"/>
                <w:sz w:val="24"/>
                <w:szCs w:val="24"/>
              </w:rPr>
            </w:pPr>
          </w:p>
          <w:p w14:paraId="132BF136" w14:textId="7ACE4B65" w:rsidR="00536478" w:rsidRDefault="00536478" w:rsidP="003A71C1">
            <w:pPr>
              <w:rPr>
                <w:rFonts w:ascii="Century" w:hAnsi="Century"/>
                <w:sz w:val="24"/>
                <w:szCs w:val="24"/>
              </w:rPr>
            </w:pPr>
            <w:r>
              <w:rPr>
                <w:rFonts w:ascii="Century" w:hAnsi="Century"/>
                <w:sz w:val="24"/>
                <w:szCs w:val="24"/>
              </w:rPr>
              <w:t xml:space="preserve">The Catholic Church is very clear and consistent in its teachings on human sexuality. Particularly germane to this policy are Catechism of the Catholic Church, nos. 362-365: </w:t>
            </w:r>
            <w:r w:rsidR="003E0103">
              <w:rPr>
                <w:rFonts w:ascii="Century" w:hAnsi="Century"/>
                <w:sz w:val="24"/>
                <w:szCs w:val="24"/>
              </w:rPr>
              <w:t>372: and 2332-2333. The Church s</w:t>
            </w:r>
            <w:r>
              <w:rPr>
                <w:rFonts w:ascii="Century" w:hAnsi="Century"/>
                <w:sz w:val="24"/>
                <w:szCs w:val="24"/>
              </w:rPr>
              <w:t>tates in No. 2333: “Everyone, man and woman, should acknowledge and accept his sexual identity.”</w:t>
            </w:r>
          </w:p>
          <w:p w14:paraId="245064B3" w14:textId="77777777" w:rsidR="003E0103" w:rsidRDefault="003E0103" w:rsidP="00536478">
            <w:pPr>
              <w:jc w:val="both"/>
              <w:rPr>
                <w:rFonts w:ascii="Century" w:hAnsi="Century"/>
                <w:sz w:val="24"/>
                <w:szCs w:val="24"/>
              </w:rPr>
            </w:pPr>
          </w:p>
          <w:p w14:paraId="3B33DE8D" w14:textId="77777777" w:rsidR="00536478" w:rsidRDefault="00536478" w:rsidP="00536478">
            <w:pPr>
              <w:jc w:val="both"/>
              <w:rPr>
                <w:rFonts w:ascii="Century" w:hAnsi="Century"/>
                <w:sz w:val="24"/>
                <w:szCs w:val="24"/>
              </w:rPr>
            </w:pPr>
            <w:r>
              <w:rPr>
                <w:rFonts w:ascii="Century" w:hAnsi="Century"/>
                <w:sz w:val="24"/>
                <w:szCs w:val="24"/>
              </w:rPr>
              <w:t xml:space="preserve">Moreover, Pope Francis has repeatedly affirmed the Church’s teachings on gender. He wrote in </w:t>
            </w:r>
            <w:proofErr w:type="spellStart"/>
            <w:r>
              <w:rPr>
                <w:rFonts w:ascii="Century" w:hAnsi="Century"/>
                <w:i/>
                <w:sz w:val="24"/>
                <w:szCs w:val="24"/>
              </w:rPr>
              <w:t>Laudato</w:t>
            </w:r>
            <w:proofErr w:type="spellEnd"/>
            <w:r>
              <w:rPr>
                <w:rFonts w:ascii="Century" w:hAnsi="Century"/>
                <w:i/>
                <w:sz w:val="24"/>
                <w:szCs w:val="24"/>
              </w:rPr>
              <w:t xml:space="preserve"> Si </w:t>
            </w:r>
            <w:r>
              <w:rPr>
                <w:rFonts w:ascii="Century" w:hAnsi="Century"/>
                <w:sz w:val="24"/>
                <w:szCs w:val="24"/>
              </w:rPr>
              <w:t xml:space="preserve">no. 155: “The acceptance of our bodies as God’s gift is vital for welcoming and accepting the entire world as a gift from the Father and our common home, whereas thinking that we enjoy absolute power over our own </w:t>
            </w:r>
            <w:proofErr w:type="gramStart"/>
            <w:r>
              <w:rPr>
                <w:rFonts w:ascii="Century" w:hAnsi="Century"/>
                <w:sz w:val="24"/>
                <w:szCs w:val="24"/>
              </w:rPr>
              <w:t>bodies</w:t>
            </w:r>
            <w:proofErr w:type="gramEnd"/>
            <w:r>
              <w:rPr>
                <w:rFonts w:ascii="Century" w:hAnsi="Century"/>
                <w:sz w:val="24"/>
                <w:szCs w:val="24"/>
              </w:rPr>
              <w:t xml:space="preserve"> turns, often subtly, into </w:t>
            </w:r>
            <w:r>
              <w:rPr>
                <w:rFonts w:ascii="Century" w:hAnsi="Century"/>
                <w:sz w:val="24"/>
                <w:szCs w:val="24"/>
              </w:rPr>
              <w:lastRenderedPageBreak/>
              <w:t xml:space="preserve">thinking that we enjoy absolute power over creation. Learning to accept our body, to care for it and to respect its fullest meaning, is an essential element of any genuine human ecology.” </w:t>
            </w:r>
          </w:p>
          <w:p w14:paraId="4FED918D" w14:textId="77777777" w:rsidR="00536478" w:rsidRDefault="00536478" w:rsidP="00536478">
            <w:pPr>
              <w:jc w:val="both"/>
              <w:rPr>
                <w:rFonts w:ascii="Century" w:hAnsi="Century"/>
                <w:sz w:val="24"/>
                <w:szCs w:val="24"/>
              </w:rPr>
            </w:pPr>
          </w:p>
          <w:p w14:paraId="67F5AF41" w14:textId="77777777" w:rsidR="00536478" w:rsidRDefault="00536478" w:rsidP="00536478">
            <w:pPr>
              <w:jc w:val="both"/>
              <w:rPr>
                <w:rFonts w:ascii="Century" w:hAnsi="Century"/>
                <w:sz w:val="24"/>
                <w:szCs w:val="24"/>
              </w:rPr>
            </w:pPr>
            <w:r>
              <w:rPr>
                <w:rFonts w:ascii="Century" w:hAnsi="Century"/>
                <w:sz w:val="24"/>
                <w:szCs w:val="24"/>
              </w:rPr>
              <w:t>In recent times, a number of American dioceses have published “reflections” (or, “policy,” or “catechesis,” with the terms varying). Particularly helpful to us was “A Catechesis on the Human Person and Gender Ideology,” published in August 2021 by the Diocese of Arlington.</w:t>
            </w:r>
          </w:p>
          <w:p w14:paraId="57513311" w14:textId="77777777" w:rsidR="00536478" w:rsidRDefault="00536478" w:rsidP="00536478">
            <w:pPr>
              <w:jc w:val="both"/>
              <w:rPr>
                <w:rFonts w:ascii="Century" w:hAnsi="Century"/>
                <w:sz w:val="24"/>
                <w:szCs w:val="24"/>
              </w:rPr>
            </w:pPr>
          </w:p>
          <w:p w14:paraId="612106F0" w14:textId="77777777" w:rsidR="00536478" w:rsidRDefault="003E0103" w:rsidP="00536478">
            <w:pPr>
              <w:jc w:val="both"/>
              <w:rPr>
                <w:rFonts w:ascii="Century" w:hAnsi="Century"/>
                <w:sz w:val="24"/>
                <w:szCs w:val="24"/>
              </w:rPr>
            </w:pPr>
            <w:r>
              <w:rPr>
                <w:rFonts w:ascii="Century" w:hAnsi="Century"/>
                <w:b/>
                <w:sz w:val="24"/>
                <w:szCs w:val="24"/>
              </w:rPr>
              <w:t>An abundance of charity</w:t>
            </w:r>
          </w:p>
          <w:p w14:paraId="4B141761" w14:textId="77777777" w:rsidR="003E0103" w:rsidRDefault="003E0103" w:rsidP="00536478">
            <w:pPr>
              <w:jc w:val="both"/>
              <w:rPr>
                <w:rFonts w:ascii="Century" w:hAnsi="Century"/>
                <w:sz w:val="24"/>
                <w:szCs w:val="24"/>
              </w:rPr>
            </w:pPr>
          </w:p>
          <w:p w14:paraId="5CD1B72F" w14:textId="77777777" w:rsidR="003E0103" w:rsidRDefault="003E0103" w:rsidP="00536478">
            <w:pPr>
              <w:jc w:val="both"/>
              <w:rPr>
                <w:rFonts w:ascii="Century" w:hAnsi="Century"/>
                <w:sz w:val="24"/>
                <w:szCs w:val="24"/>
              </w:rPr>
            </w:pPr>
            <w:r>
              <w:rPr>
                <w:rFonts w:ascii="Century" w:hAnsi="Century"/>
                <w:sz w:val="24"/>
                <w:szCs w:val="24"/>
              </w:rPr>
              <w:t>“It needs to be emphasized,” wrote Pope Francis, that “biological sex and the socio-cultural role of sex</w:t>
            </w:r>
            <w:r w:rsidR="0060407B">
              <w:rPr>
                <w:rFonts w:ascii="Century" w:hAnsi="Century"/>
                <w:sz w:val="24"/>
                <w:szCs w:val="24"/>
              </w:rPr>
              <w:t xml:space="preserve"> </w:t>
            </w:r>
            <w:r>
              <w:rPr>
                <w:rFonts w:ascii="Century" w:hAnsi="Century"/>
                <w:sz w:val="24"/>
                <w:szCs w:val="24"/>
              </w:rPr>
              <w:t>(gender) can be distinguished but not separated… It is one thing to be understanding of human weakness and the complexities of life, and another to accept ideologies that attempt to sunder what are inseparable aspects of reality.” (</w:t>
            </w:r>
            <w:proofErr w:type="spellStart"/>
            <w:r>
              <w:rPr>
                <w:rFonts w:ascii="Century" w:hAnsi="Century"/>
                <w:i/>
                <w:sz w:val="24"/>
                <w:szCs w:val="24"/>
              </w:rPr>
              <w:t>Amoris</w:t>
            </w:r>
            <w:proofErr w:type="spellEnd"/>
            <w:r>
              <w:rPr>
                <w:rFonts w:ascii="Century" w:hAnsi="Century"/>
                <w:i/>
                <w:sz w:val="24"/>
                <w:szCs w:val="24"/>
              </w:rPr>
              <w:t xml:space="preserve"> Laetitia </w:t>
            </w:r>
            <w:r>
              <w:rPr>
                <w:rFonts w:ascii="Century" w:hAnsi="Century"/>
                <w:sz w:val="24"/>
                <w:szCs w:val="24"/>
              </w:rPr>
              <w:t>no.56)</w:t>
            </w:r>
          </w:p>
          <w:p w14:paraId="746D62D5" w14:textId="77777777" w:rsidR="003E0103" w:rsidRDefault="003E0103" w:rsidP="00536478">
            <w:pPr>
              <w:jc w:val="both"/>
              <w:rPr>
                <w:rFonts w:ascii="Century" w:hAnsi="Century"/>
                <w:sz w:val="24"/>
                <w:szCs w:val="24"/>
              </w:rPr>
            </w:pPr>
          </w:p>
          <w:p w14:paraId="237580A3" w14:textId="08C70CAC" w:rsidR="003E0103" w:rsidRPr="003E0103" w:rsidRDefault="003E0103" w:rsidP="00536478">
            <w:pPr>
              <w:jc w:val="both"/>
              <w:rPr>
                <w:rFonts w:ascii="Century" w:hAnsi="Century"/>
                <w:sz w:val="24"/>
                <w:szCs w:val="24"/>
              </w:rPr>
            </w:pPr>
            <w:r>
              <w:rPr>
                <w:rFonts w:ascii="Century" w:hAnsi="Century"/>
                <w:sz w:val="24"/>
                <w:szCs w:val="24"/>
              </w:rPr>
              <w:t>As we work on such matters with our Catholic School</w:t>
            </w:r>
            <w:r w:rsidRPr="0060407B">
              <w:rPr>
                <w:rFonts w:ascii="Century" w:hAnsi="Century"/>
                <w:color w:val="FF0000"/>
                <w:sz w:val="24"/>
                <w:szCs w:val="24"/>
              </w:rPr>
              <w:t xml:space="preserve"> </w:t>
            </w:r>
            <w:r>
              <w:rPr>
                <w:rFonts w:ascii="Century" w:hAnsi="Century"/>
                <w:sz w:val="24"/>
                <w:szCs w:val="24"/>
              </w:rPr>
              <w:t xml:space="preserve">communities across our diocese, we know that we are entering very personal waters and “the complexities of life” the Holy Father references. And so we urge that our schools, while embracing the fullness of truth found in Church teaching, also assemble the appropriate resources to support students who may be confused or impacted in some manner by Gender Ideology. Those resources can include: Christian Counselors (employees of the schools, not of the Intermediate Units); social workers; resources for families; a strong discipline program and accompanying handbook language that prevents bullying and harassment of any student; and programs such as Courage and </w:t>
            </w:r>
            <w:proofErr w:type="spellStart"/>
            <w:r>
              <w:rPr>
                <w:rFonts w:ascii="Century" w:hAnsi="Century"/>
                <w:sz w:val="24"/>
                <w:szCs w:val="24"/>
              </w:rPr>
              <w:t>EnCourage</w:t>
            </w:r>
            <w:proofErr w:type="spellEnd"/>
            <w:r>
              <w:rPr>
                <w:rFonts w:ascii="Century" w:hAnsi="Century"/>
                <w:sz w:val="24"/>
                <w:szCs w:val="24"/>
              </w:rPr>
              <w:t xml:space="preserve">. We will need to be ready as communities to </w:t>
            </w:r>
            <w:r>
              <w:rPr>
                <w:rFonts w:ascii="Century" w:hAnsi="Century"/>
                <w:i/>
                <w:sz w:val="24"/>
                <w:szCs w:val="24"/>
              </w:rPr>
              <w:t>accompany</w:t>
            </w:r>
            <w:r>
              <w:rPr>
                <w:rFonts w:ascii="Century" w:hAnsi="Century"/>
                <w:sz w:val="24"/>
                <w:szCs w:val="24"/>
              </w:rPr>
              <w:t xml:space="preserve"> (to borrow Pope Francis’s term) those struggling with “gender dysphoria” and those impacted by Gender </w:t>
            </w:r>
            <w:r w:rsidR="0060407B">
              <w:rPr>
                <w:rFonts w:ascii="Century" w:hAnsi="Century"/>
                <w:sz w:val="24"/>
                <w:szCs w:val="24"/>
              </w:rPr>
              <w:t xml:space="preserve">Ideology, and be certain that they are treated with compassion and respect. </w:t>
            </w:r>
          </w:p>
          <w:p w14:paraId="6DD4BF69" w14:textId="77777777" w:rsidR="00536478" w:rsidRDefault="00536478" w:rsidP="003A71C1">
            <w:pPr>
              <w:rPr>
                <w:rFonts w:ascii="Century" w:hAnsi="Century"/>
                <w:sz w:val="24"/>
                <w:szCs w:val="24"/>
              </w:rPr>
            </w:pPr>
          </w:p>
          <w:p w14:paraId="15C002F4" w14:textId="4018A8B2" w:rsidR="00536478" w:rsidRDefault="0060407B" w:rsidP="003A71C1">
            <w:pPr>
              <w:rPr>
                <w:rFonts w:ascii="Century" w:hAnsi="Century"/>
                <w:sz w:val="24"/>
                <w:szCs w:val="24"/>
              </w:rPr>
            </w:pPr>
            <w:r>
              <w:rPr>
                <w:rFonts w:ascii="Century" w:hAnsi="Century"/>
                <w:sz w:val="24"/>
                <w:szCs w:val="24"/>
              </w:rPr>
              <w:t xml:space="preserve">Additionally, we </w:t>
            </w:r>
            <w:r w:rsidR="004B0C41">
              <w:rPr>
                <w:rFonts w:ascii="Century" w:hAnsi="Century"/>
                <w:sz w:val="24"/>
                <w:szCs w:val="24"/>
              </w:rPr>
              <w:t>require</w:t>
            </w:r>
            <w:r>
              <w:rPr>
                <w:rFonts w:ascii="Century" w:hAnsi="Century"/>
                <w:sz w:val="24"/>
                <w:szCs w:val="24"/>
              </w:rPr>
              <w:t xml:space="preserve"> that </w:t>
            </w:r>
            <w:r w:rsidR="004B0C41">
              <w:rPr>
                <w:rFonts w:ascii="Century" w:hAnsi="Century"/>
                <w:sz w:val="24"/>
                <w:szCs w:val="24"/>
              </w:rPr>
              <w:t>the Catholic schools of our diocese</w:t>
            </w:r>
            <w:r>
              <w:rPr>
                <w:rFonts w:ascii="Century" w:hAnsi="Century"/>
                <w:color w:val="FF0000"/>
                <w:sz w:val="24"/>
                <w:szCs w:val="24"/>
              </w:rPr>
              <w:t xml:space="preserve"> </w:t>
            </w:r>
            <w:r>
              <w:rPr>
                <w:rFonts w:ascii="Century" w:hAnsi="Century"/>
                <w:sz w:val="24"/>
                <w:szCs w:val="24"/>
              </w:rPr>
              <w:t>adopt a Theology of the Body program for all grades. Theology of the Body is a complete Catholic narrative of human sexuality, and it presents a yes, an affirmative approach, to God’s plan for humanity. It will prove indispensable in discussions that include Gender Ideology.</w:t>
            </w:r>
          </w:p>
          <w:p w14:paraId="0F9FF09C" w14:textId="77777777" w:rsidR="004B0C41" w:rsidRDefault="004B0C41" w:rsidP="003A71C1">
            <w:pPr>
              <w:rPr>
                <w:rFonts w:ascii="Century" w:hAnsi="Century"/>
                <w:b/>
                <w:color w:val="FF0000"/>
                <w:sz w:val="24"/>
                <w:szCs w:val="24"/>
              </w:rPr>
            </w:pPr>
          </w:p>
          <w:p w14:paraId="3B0BB5ED" w14:textId="4F7F5426" w:rsidR="004B0C41" w:rsidRDefault="004B0C41" w:rsidP="003A71C1">
            <w:pPr>
              <w:rPr>
                <w:rFonts w:ascii="Century" w:hAnsi="Century"/>
                <w:b/>
                <w:color w:val="000000" w:themeColor="text1"/>
                <w:sz w:val="24"/>
                <w:szCs w:val="24"/>
              </w:rPr>
            </w:pPr>
          </w:p>
          <w:p w14:paraId="62CC170F" w14:textId="4A9D91CF" w:rsidR="004B0C41" w:rsidRDefault="004B0C41" w:rsidP="003A71C1">
            <w:pPr>
              <w:rPr>
                <w:rFonts w:ascii="Century" w:hAnsi="Century"/>
                <w:b/>
                <w:color w:val="000000" w:themeColor="text1"/>
                <w:sz w:val="24"/>
                <w:szCs w:val="24"/>
              </w:rPr>
            </w:pPr>
          </w:p>
          <w:p w14:paraId="19EF999A" w14:textId="17E475E6" w:rsidR="004B0C41" w:rsidRDefault="004B0C41" w:rsidP="003A71C1">
            <w:pPr>
              <w:rPr>
                <w:rFonts w:ascii="Century" w:hAnsi="Century"/>
                <w:b/>
                <w:color w:val="000000" w:themeColor="text1"/>
                <w:sz w:val="24"/>
                <w:szCs w:val="24"/>
              </w:rPr>
            </w:pPr>
          </w:p>
          <w:p w14:paraId="328BC0F0" w14:textId="36757C7F" w:rsidR="004B0C41" w:rsidRDefault="004B0C41" w:rsidP="003A71C1">
            <w:pPr>
              <w:rPr>
                <w:rFonts w:ascii="Century" w:hAnsi="Century"/>
                <w:b/>
                <w:color w:val="000000" w:themeColor="text1"/>
                <w:sz w:val="24"/>
                <w:szCs w:val="24"/>
              </w:rPr>
            </w:pPr>
          </w:p>
          <w:p w14:paraId="5435EEA6" w14:textId="34114054" w:rsidR="004B0C41" w:rsidRDefault="004B0C41" w:rsidP="003A71C1">
            <w:pPr>
              <w:rPr>
                <w:rFonts w:ascii="Century" w:hAnsi="Century"/>
                <w:b/>
                <w:color w:val="000000" w:themeColor="text1"/>
                <w:sz w:val="24"/>
                <w:szCs w:val="24"/>
              </w:rPr>
            </w:pPr>
          </w:p>
          <w:p w14:paraId="14DDB12F" w14:textId="17E30350" w:rsidR="004B0C41" w:rsidRDefault="004B0C41" w:rsidP="003A71C1">
            <w:pPr>
              <w:rPr>
                <w:rFonts w:ascii="Century" w:hAnsi="Century"/>
                <w:b/>
                <w:color w:val="000000" w:themeColor="text1"/>
                <w:sz w:val="24"/>
                <w:szCs w:val="24"/>
              </w:rPr>
            </w:pPr>
          </w:p>
          <w:p w14:paraId="6CBE2B31" w14:textId="77777777" w:rsidR="00340334" w:rsidRDefault="00340334" w:rsidP="003A71C1">
            <w:pPr>
              <w:rPr>
                <w:rFonts w:ascii="Century" w:hAnsi="Century"/>
                <w:b/>
                <w:color w:val="000000" w:themeColor="text1"/>
                <w:sz w:val="24"/>
                <w:szCs w:val="24"/>
              </w:rPr>
            </w:pPr>
          </w:p>
          <w:p w14:paraId="7B02C01E" w14:textId="08A796EB" w:rsidR="004B0C41" w:rsidRDefault="004B0C41" w:rsidP="003A71C1">
            <w:pPr>
              <w:rPr>
                <w:rFonts w:ascii="Century" w:hAnsi="Century"/>
                <w:b/>
                <w:color w:val="000000" w:themeColor="text1"/>
                <w:sz w:val="24"/>
                <w:szCs w:val="24"/>
              </w:rPr>
            </w:pPr>
            <w:r>
              <w:rPr>
                <w:rFonts w:ascii="Century" w:hAnsi="Century"/>
                <w:b/>
                <w:color w:val="000000" w:themeColor="text1"/>
                <w:sz w:val="24"/>
                <w:szCs w:val="24"/>
              </w:rPr>
              <w:t>Guidance:</w:t>
            </w:r>
          </w:p>
          <w:p w14:paraId="20556CE5" w14:textId="77777777" w:rsidR="004B0C41" w:rsidRPr="004B0C41" w:rsidRDefault="004B0C41" w:rsidP="003A71C1">
            <w:pPr>
              <w:rPr>
                <w:rFonts w:ascii="Century" w:hAnsi="Century"/>
                <w:b/>
                <w:color w:val="000000" w:themeColor="text1"/>
                <w:sz w:val="24"/>
                <w:szCs w:val="24"/>
              </w:rPr>
            </w:pPr>
          </w:p>
          <w:p w14:paraId="4E4BF383" w14:textId="33A802C7" w:rsidR="0060407B" w:rsidRPr="004B0C41" w:rsidRDefault="004B0C41" w:rsidP="003A71C1">
            <w:pPr>
              <w:rPr>
                <w:rFonts w:ascii="Century" w:hAnsi="Century"/>
                <w:color w:val="000000" w:themeColor="text1"/>
                <w:sz w:val="24"/>
                <w:szCs w:val="24"/>
              </w:rPr>
            </w:pPr>
            <w:r>
              <w:rPr>
                <w:rFonts w:ascii="Century" w:hAnsi="Century"/>
                <w:color w:val="000000" w:themeColor="text1"/>
                <w:sz w:val="24"/>
                <w:szCs w:val="24"/>
              </w:rPr>
              <w:t>T</w:t>
            </w:r>
            <w:r w:rsidR="0060407B" w:rsidRPr="004B0C41">
              <w:rPr>
                <w:rFonts w:ascii="Century" w:hAnsi="Century"/>
                <w:color w:val="000000" w:themeColor="text1"/>
                <w:sz w:val="24"/>
                <w:szCs w:val="24"/>
              </w:rPr>
              <w:t xml:space="preserve">o provide guidance in applying the Church’s moral teachings regarding the challenges presents by Gender Ideology. </w:t>
            </w:r>
          </w:p>
          <w:p w14:paraId="52C9C13B" w14:textId="77777777" w:rsidR="0060407B" w:rsidRDefault="0060407B" w:rsidP="003A71C1">
            <w:pPr>
              <w:rPr>
                <w:rFonts w:ascii="Century" w:hAnsi="Century"/>
                <w:color w:val="FF0000"/>
                <w:sz w:val="24"/>
                <w:szCs w:val="24"/>
              </w:rPr>
            </w:pPr>
          </w:p>
          <w:p w14:paraId="2106C9B4" w14:textId="793DD30F" w:rsidR="0060407B" w:rsidRDefault="0060407B" w:rsidP="003A71C1">
            <w:pPr>
              <w:rPr>
                <w:rFonts w:ascii="Century" w:hAnsi="Century"/>
                <w:sz w:val="24"/>
                <w:szCs w:val="24"/>
              </w:rPr>
            </w:pPr>
            <w:r>
              <w:rPr>
                <w:rFonts w:ascii="Century" w:hAnsi="Century"/>
                <w:sz w:val="24"/>
                <w:szCs w:val="24"/>
              </w:rPr>
              <w:t>In all interactions and policies, our schools</w:t>
            </w:r>
            <w:r w:rsidRPr="0060407B">
              <w:rPr>
                <w:rFonts w:ascii="Century" w:hAnsi="Century"/>
                <w:color w:val="FF0000"/>
                <w:sz w:val="24"/>
                <w:szCs w:val="24"/>
              </w:rPr>
              <w:t xml:space="preserve"> </w:t>
            </w:r>
            <w:r>
              <w:rPr>
                <w:rFonts w:ascii="Century" w:hAnsi="Century"/>
                <w:sz w:val="24"/>
                <w:szCs w:val="24"/>
              </w:rPr>
              <w:t xml:space="preserve">are to recognize </w:t>
            </w:r>
            <w:r>
              <w:rPr>
                <w:rFonts w:ascii="Century" w:hAnsi="Century"/>
                <w:i/>
                <w:sz w:val="24"/>
                <w:szCs w:val="24"/>
              </w:rPr>
              <w:t>only</w:t>
            </w:r>
            <w:r>
              <w:rPr>
                <w:rFonts w:ascii="Century" w:hAnsi="Century"/>
                <w:sz w:val="24"/>
                <w:szCs w:val="24"/>
              </w:rPr>
              <w:t xml:space="preserve"> a person’s biological sex. Schools</w:t>
            </w:r>
            <w:r w:rsidRPr="0060407B">
              <w:rPr>
                <w:rFonts w:ascii="Century" w:hAnsi="Century"/>
                <w:color w:val="FF0000"/>
                <w:sz w:val="24"/>
                <w:szCs w:val="24"/>
              </w:rPr>
              <w:t xml:space="preserve"> </w:t>
            </w:r>
            <w:r>
              <w:rPr>
                <w:rFonts w:ascii="Century" w:hAnsi="Century"/>
                <w:sz w:val="24"/>
                <w:szCs w:val="24"/>
              </w:rPr>
              <w:t>are to use only the terms “biological sex,” “gender at birth,” or “God-given Gender” when referencing or requesting a person’s sex. This policy applies to all members of our school</w:t>
            </w:r>
            <w:r w:rsidR="004B0C41">
              <w:rPr>
                <w:rFonts w:ascii="Century" w:hAnsi="Century"/>
                <w:sz w:val="24"/>
                <w:szCs w:val="24"/>
              </w:rPr>
              <w:t xml:space="preserve"> </w:t>
            </w:r>
            <w:r>
              <w:rPr>
                <w:rFonts w:ascii="Century" w:hAnsi="Century"/>
                <w:sz w:val="24"/>
                <w:szCs w:val="24"/>
              </w:rPr>
              <w:t xml:space="preserve">communities. </w:t>
            </w:r>
          </w:p>
          <w:p w14:paraId="1C74CCFE" w14:textId="77777777" w:rsidR="0060407B" w:rsidRDefault="0060407B" w:rsidP="003A71C1">
            <w:pPr>
              <w:rPr>
                <w:rFonts w:ascii="Century" w:hAnsi="Century"/>
                <w:sz w:val="24"/>
                <w:szCs w:val="24"/>
              </w:rPr>
            </w:pPr>
          </w:p>
          <w:p w14:paraId="47E8F481" w14:textId="77777777" w:rsidR="0060407B" w:rsidRDefault="0060407B" w:rsidP="003A71C1">
            <w:pPr>
              <w:rPr>
                <w:rFonts w:ascii="Century" w:hAnsi="Century"/>
                <w:sz w:val="24"/>
                <w:szCs w:val="24"/>
              </w:rPr>
            </w:pPr>
            <w:r>
              <w:rPr>
                <w:rFonts w:ascii="Century" w:hAnsi="Century"/>
                <w:sz w:val="24"/>
                <w:szCs w:val="24"/>
                <w:u w:val="single"/>
              </w:rPr>
              <w:t>Designations and Pronouns</w:t>
            </w:r>
            <w:r>
              <w:rPr>
                <w:rFonts w:ascii="Century" w:hAnsi="Century"/>
                <w:sz w:val="24"/>
                <w:szCs w:val="24"/>
              </w:rPr>
              <w:t xml:space="preserve">. No person may designate a “preferred pronoun” in speech or in writing. Permitting the designation of a preferred pronoun, while often intended as an act of charity, instead promotes acceptance of the </w:t>
            </w:r>
            <w:proofErr w:type="spellStart"/>
            <w:r>
              <w:rPr>
                <w:rFonts w:ascii="Century" w:hAnsi="Century"/>
                <w:sz w:val="24"/>
                <w:szCs w:val="24"/>
              </w:rPr>
              <w:t>separability</w:t>
            </w:r>
            <w:proofErr w:type="spellEnd"/>
            <w:r>
              <w:rPr>
                <w:rFonts w:ascii="Century" w:hAnsi="Century"/>
                <w:sz w:val="24"/>
                <w:szCs w:val="24"/>
              </w:rPr>
              <w:t xml:space="preserve"> of biological sex and “gender,” and thus opposes the truth of our sexual unity. Nicknames may be used (e.g., “Sam” for “Samantha”), as long as they do not indicator or anticipate a gender transition. </w:t>
            </w:r>
          </w:p>
          <w:p w14:paraId="4EF8D699" w14:textId="77777777" w:rsidR="0060407B" w:rsidRDefault="0060407B" w:rsidP="003A71C1">
            <w:pPr>
              <w:rPr>
                <w:rFonts w:ascii="Century" w:hAnsi="Century"/>
                <w:sz w:val="24"/>
                <w:szCs w:val="24"/>
              </w:rPr>
            </w:pPr>
          </w:p>
          <w:p w14:paraId="3B4D8E57" w14:textId="395B347E" w:rsidR="0060407B" w:rsidRDefault="00A60E58" w:rsidP="003A71C1">
            <w:pPr>
              <w:rPr>
                <w:rFonts w:ascii="Century" w:hAnsi="Century"/>
                <w:sz w:val="24"/>
                <w:szCs w:val="24"/>
              </w:rPr>
            </w:pPr>
            <w:r>
              <w:rPr>
                <w:rFonts w:ascii="Century" w:hAnsi="Century"/>
                <w:sz w:val="24"/>
                <w:szCs w:val="24"/>
                <w:u w:val="single"/>
              </w:rPr>
              <w:t xml:space="preserve">Admissions and retention at a </w:t>
            </w:r>
            <w:r w:rsidRPr="004B0C41">
              <w:rPr>
                <w:rFonts w:ascii="Century" w:hAnsi="Century"/>
                <w:sz w:val="24"/>
                <w:szCs w:val="24"/>
              </w:rPr>
              <w:t>school</w:t>
            </w:r>
            <w:r w:rsidR="004B0C41">
              <w:rPr>
                <w:rFonts w:ascii="Century" w:hAnsi="Century"/>
                <w:sz w:val="24"/>
                <w:szCs w:val="24"/>
              </w:rPr>
              <w:t xml:space="preserve">.  </w:t>
            </w:r>
            <w:r w:rsidRPr="004B0C41">
              <w:rPr>
                <w:rFonts w:ascii="Century" w:hAnsi="Century"/>
                <w:sz w:val="24"/>
                <w:szCs w:val="24"/>
              </w:rPr>
              <w:t>Students</w:t>
            </w:r>
            <w:r>
              <w:rPr>
                <w:rFonts w:ascii="Century" w:hAnsi="Century"/>
                <w:sz w:val="24"/>
                <w:szCs w:val="24"/>
              </w:rPr>
              <w:t xml:space="preserve"> experiences “gender dysphoria” may be admitted to our Catholic schools, provided the student and the student’s parents/guardians sign a memorandum of understanding, or the like, as part of the admissions process, that clearly indicates that we will teach the Catholic faith, and that we will expect the student to follow all policies and directives pertinent to that child’s biological sex. A student may be ineligible for continued enrollment if the student’s gender expression causes confusion or disruption at the school, misleads others, or causes scandal.</w:t>
            </w:r>
          </w:p>
          <w:p w14:paraId="295A6285" w14:textId="77777777" w:rsidR="00A60E58" w:rsidRDefault="00A60E58" w:rsidP="003A71C1">
            <w:pPr>
              <w:rPr>
                <w:rFonts w:ascii="Century" w:hAnsi="Century"/>
                <w:sz w:val="24"/>
                <w:szCs w:val="24"/>
              </w:rPr>
            </w:pPr>
          </w:p>
          <w:p w14:paraId="0B8243AA" w14:textId="77777777" w:rsidR="00A60E58" w:rsidRDefault="00A60E58" w:rsidP="003A71C1">
            <w:pPr>
              <w:rPr>
                <w:rFonts w:ascii="Century" w:hAnsi="Century"/>
                <w:sz w:val="24"/>
                <w:szCs w:val="24"/>
              </w:rPr>
            </w:pPr>
            <w:r>
              <w:rPr>
                <w:rFonts w:ascii="Century" w:hAnsi="Century"/>
                <w:sz w:val="24"/>
                <w:szCs w:val="24"/>
                <w:u w:val="single"/>
              </w:rPr>
              <w:t>Bathrooms and Locker Rooms</w:t>
            </w:r>
            <w:r>
              <w:rPr>
                <w:rFonts w:ascii="Century" w:hAnsi="Century"/>
                <w:sz w:val="24"/>
                <w:szCs w:val="24"/>
              </w:rPr>
              <w:t xml:space="preserve">. All persons must use the bathroom or locker room that matches that person’s biological sex. Schools are permitted to have individual-use bathrooms that are available for all members of the community. </w:t>
            </w:r>
          </w:p>
          <w:p w14:paraId="1F6A7ED7" w14:textId="77777777" w:rsidR="00A60E58" w:rsidRDefault="00A60E58" w:rsidP="003A71C1">
            <w:pPr>
              <w:rPr>
                <w:rFonts w:ascii="Century" w:hAnsi="Century"/>
                <w:sz w:val="24"/>
                <w:szCs w:val="24"/>
              </w:rPr>
            </w:pPr>
          </w:p>
          <w:p w14:paraId="5390CCC8" w14:textId="77777777" w:rsidR="00A60E58" w:rsidRDefault="00A60E58" w:rsidP="003A71C1">
            <w:pPr>
              <w:rPr>
                <w:rFonts w:ascii="Century" w:hAnsi="Century"/>
                <w:sz w:val="24"/>
                <w:szCs w:val="24"/>
              </w:rPr>
            </w:pPr>
            <w:r>
              <w:rPr>
                <w:rFonts w:ascii="Century" w:hAnsi="Century"/>
                <w:sz w:val="24"/>
                <w:szCs w:val="24"/>
                <w:u w:val="single"/>
              </w:rPr>
              <w:t>Attire</w:t>
            </w:r>
            <w:r>
              <w:rPr>
                <w:rFonts w:ascii="Century" w:hAnsi="Century"/>
                <w:sz w:val="24"/>
                <w:szCs w:val="24"/>
              </w:rPr>
              <w:t>. All persons are to present themselves in a manner consistent with their God-given dignity. Where a dress code or uniform exists, all persons are to follow the dress code or uniform that accords with biological sex.</w:t>
            </w:r>
          </w:p>
          <w:p w14:paraId="750CE3DA" w14:textId="77777777" w:rsidR="00A60E58" w:rsidRDefault="00A60E58" w:rsidP="003A71C1">
            <w:pPr>
              <w:rPr>
                <w:rFonts w:ascii="Century" w:hAnsi="Century"/>
                <w:sz w:val="24"/>
                <w:szCs w:val="24"/>
              </w:rPr>
            </w:pPr>
          </w:p>
          <w:p w14:paraId="0A8E222D" w14:textId="77777777" w:rsidR="00A60E58" w:rsidRPr="00A60E58" w:rsidRDefault="00A60E58" w:rsidP="003A71C1">
            <w:pPr>
              <w:rPr>
                <w:rFonts w:ascii="Century" w:hAnsi="Century"/>
                <w:sz w:val="24"/>
                <w:szCs w:val="24"/>
              </w:rPr>
            </w:pPr>
            <w:r>
              <w:rPr>
                <w:rFonts w:ascii="Century" w:hAnsi="Century"/>
                <w:sz w:val="24"/>
                <w:szCs w:val="24"/>
                <w:u w:val="single"/>
              </w:rPr>
              <w:t>Athletics and Extra-</w:t>
            </w:r>
            <w:proofErr w:type="spellStart"/>
            <w:r>
              <w:rPr>
                <w:rFonts w:ascii="Century" w:hAnsi="Century"/>
                <w:sz w:val="24"/>
                <w:szCs w:val="24"/>
                <w:u w:val="single"/>
              </w:rPr>
              <w:t>Curriculars</w:t>
            </w:r>
            <w:proofErr w:type="spellEnd"/>
            <w:r>
              <w:rPr>
                <w:rFonts w:ascii="Century" w:hAnsi="Century"/>
                <w:sz w:val="24"/>
                <w:szCs w:val="24"/>
              </w:rPr>
              <w:t xml:space="preserve">. Participation in school and CYO activities and athletics must conform to the biological sex of the </w:t>
            </w:r>
            <w:r>
              <w:rPr>
                <w:rFonts w:ascii="Century" w:hAnsi="Century"/>
                <w:sz w:val="24"/>
                <w:szCs w:val="24"/>
              </w:rPr>
              <w:lastRenderedPageBreak/>
              <w:t xml:space="preserve">participant. Some sports and activities may be open to the participation of individual of both sexes. </w:t>
            </w:r>
          </w:p>
          <w:p w14:paraId="09C1D51E" w14:textId="77777777" w:rsidR="0060407B" w:rsidRDefault="0060407B" w:rsidP="003A71C1">
            <w:pPr>
              <w:rPr>
                <w:rFonts w:ascii="Century" w:hAnsi="Century"/>
                <w:sz w:val="24"/>
                <w:szCs w:val="24"/>
              </w:rPr>
            </w:pPr>
          </w:p>
          <w:p w14:paraId="6C199F49" w14:textId="77777777" w:rsidR="00A60E58" w:rsidRDefault="00A60E58" w:rsidP="003A71C1">
            <w:pPr>
              <w:rPr>
                <w:rFonts w:ascii="Century" w:hAnsi="Century"/>
                <w:sz w:val="24"/>
                <w:szCs w:val="24"/>
              </w:rPr>
            </w:pPr>
            <w:r>
              <w:rPr>
                <w:rFonts w:ascii="Century" w:hAnsi="Century"/>
                <w:sz w:val="24"/>
                <w:szCs w:val="24"/>
                <w:u w:val="single"/>
              </w:rPr>
              <w:t>Single-Sex Schools, Buildings, and other Programs and Institutions</w:t>
            </w:r>
            <w:r>
              <w:rPr>
                <w:rFonts w:ascii="Century" w:hAnsi="Century"/>
                <w:sz w:val="24"/>
                <w:szCs w:val="24"/>
              </w:rPr>
              <w:t xml:space="preserve">. </w:t>
            </w:r>
            <w:r w:rsidR="00335B83">
              <w:rPr>
                <w:rFonts w:ascii="Century" w:hAnsi="Century"/>
                <w:sz w:val="24"/>
                <w:szCs w:val="24"/>
              </w:rPr>
              <w:t>Admissions to single-sex programs, including but not limited to single-sex schools, camps, and retreats, is restricted to persons of that designated biological sex. Dormitories or other single-sex buildings are restricts to persons of that designated biological sex.</w:t>
            </w:r>
          </w:p>
          <w:p w14:paraId="2E00A6FC" w14:textId="77777777" w:rsidR="00335B83" w:rsidRDefault="00335B83" w:rsidP="003A71C1">
            <w:pPr>
              <w:rPr>
                <w:rFonts w:ascii="Century" w:hAnsi="Century"/>
                <w:sz w:val="24"/>
                <w:szCs w:val="24"/>
              </w:rPr>
            </w:pPr>
          </w:p>
          <w:p w14:paraId="6A12E7F0" w14:textId="77777777" w:rsidR="00335B83" w:rsidRDefault="00335B83" w:rsidP="003A71C1">
            <w:pPr>
              <w:rPr>
                <w:rFonts w:ascii="Century" w:hAnsi="Century"/>
                <w:sz w:val="24"/>
                <w:szCs w:val="24"/>
              </w:rPr>
            </w:pPr>
            <w:r>
              <w:rPr>
                <w:rFonts w:ascii="Century" w:hAnsi="Century"/>
                <w:sz w:val="24"/>
                <w:szCs w:val="24"/>
                <w:u w:val="single"/>
              </w:rPr>
              <w:t>Medication, Medical Procedures</w:t>
            </w:r>
            <w:r>
              <w:rPr>
                <w:rFonts w:ascii="Century" w:hAnsi="Century"/>
                <w:sz w:val="24"/>
                <w:szCs w:val="24"/>
              </w:rPr>
              <w:t xml:space="preserve">. No person is permitted to have on-site, or to distribute, any medications for the purpose of gender reassignment. Also, students and those entrusted to the care of the Church are not permitted to take “puberty blockers,” even if self-administered, on parish or school property, with the purpose of potential or actual “gender reassignment.” Additionally, efforts should not be made to accommodate a student that seeks to have a gender reassignment medical procedure. </w:t>
            </w:r>
          </w:p>
          <w:p w14:paraId="7258CC95" w14:textId="77777777" w:rsidR="00335B83" w:rsidRDefault="00335B83" w:rsidP="003A71C1">
            <w:pPr>
              <w:rPr>
                <w:rFonts w:ascii="Century" w:hAnsi="Century"/>
                <w:sz w:val="24"/>
                <w:szCs w:val="24"/>
              </w:rPr>
            </w:pPr>
          </w:p>
          <w:p w14:paraId="3F53C348" w14:textId="233211A0" w:rsidR="0060407B" w:rsidRDefault="00335B83" w:rsidP="003A71C1">
            <w:pPr>
              <w:rPr>
                <w:rFonts w:ascii="Century" w:hAnsi="Century"/>
                <w:sz w:val="24"/>
                <w:szCs w:val="24"/>
              </w:rPr>
            </w:pPr>
            <w:r>
              <w:rPr>
                <w:rFonts w:ascii="Century" w:hAnsi="Century"/>
                <w:sz w:val="24"/>
                <w:szCs w:val="24"/>
                <w:u w:val="single"/>
              </w:rPr>
              <w:t>School personnel</w:t>
            </w:r>
            <w:r>
              <w:rPr>
                <w:rFonts w:ascii="Century" w:hAnsi="Century"/>
                <w:sz w:val="24"/>
                <w:szCs w:val="24"/>
              </w:rPr>
              <w:t>. It must be made explicitly clear to all school</w:t>
            </w:r>
            <w:r w:rsidR="004B0C41">
              <w:rPr>
                <w:rFonts w:ascii="Century" w:hAnsi="Century"/>
                <w:sz w:val="24"/>
                <w:szCs w:val="24"/>
              </w:rPr>
              <w:t xml:space="preserve"> </w:t>
            </w:r>
            <w:r>
              <w:rPr>
                <w:rFonts w:ascii="Century" w:hAnsi="Century"/>
                <w:sz w:val="24"/>
                <w:szCs w:val="24"/>
              </w:rPr>
              <w:t xml:space="preserve">personnel, in all grades, all sports and activities, and all subject matters, that they are to adhere to the above stated policies as ministers of the church. </w:t>
            </w:r>
          </w:p>
          <w:p w14:paraId="0B777C6C" w14:textId="77777777" w:rsidR="0060407B" w:rsidRDefault="0060407B" w:rsidP="003A71C1">
            <w:pPr>
              <w:rPr>
                <w:rFonts w:ascii="Century" w:hAnsi="Century"/>
                <w:sz w:val="24"/>
                <w:szCs w:val="24"/>
              </w:rPr>
            </w:pPr>
          </w:p>
          <w:p w14:paraId="01ECF7DB" w14:textId="77777777" w:rsidR="0060407B" w:rsidRDefault="002D7690" w:rsidP="003A71C1">
            <w:pPr>
              <w:rPr>
                <w:rFonts w:ascii="Century" w:hAnsi="Century"/>
                <w:sz w:val="24"/>
                <w:szCs w:val="24"/>
              </w:rPr>
            </w:pPr>
            <w:r>
              <w:rPr>
                <w:rFonts w:ascii="Century" w:hAnsi="Century"/>
                <w:sz w:val="24"/>
                <w:szCs w:val="24"/>
              </w:rPr>
              <w:t>-------------------------------------------------------------------------------------------------</w:t>
            </w:r>
          </w:p>
          <w:p w14:paraId="7AED3E02" w14:textId="08502C26" w:rsidR="0060407B" w:rsidRDefault="004B0C41" w:rsidP="003A71C1">
            <w:pPr>
              <w:rPr>
                <w:rFonts w:ascii="Century" w:hAnsi="Century"/>
                <w:sz w:val="24"/>
                <w:szCs w:val="24"/>
              </w:rPr>
            </w:pPr>
            <w:r>
              <w:rPr>
                <w:rFonts w:ascii="Century" w:hAnsi="Century"/>
                <w:sz w:val="24"/>
                <w:szCs w:val="24"/>
              </w:rPr>
              <w:t>NOTE:</w:t>
            </w:r>
          </w:p>
          <w:p w14:paraId="06BA66AE" w14:textId="77777777" w:rsidR="004B0C41" w:rsidRDefault="004B0C41" w:rsidP="003A71C1">
            <w:pPr>
              <w:rPr>
                <w:rFonts w:ascii="Century" w:hAnsi="Century"/>
                <w:sz w:val="24"/>
                <w:szCs w:val="24"/>
              </w:rPr>
            </w:pPr>
          </w:p>
          <w:p w14:paraId="7A70CE6F" w14:textId="77777777" w:rsidR="002D7690" w:rsidRPr="002D7690" w:rsidRDefault="002D7690" w:rsidP="002D7690">
            <w:pPr>
              <w:shd w:val="clear" w:color="auto" w:fill="FFFFFF"/>
              <w:textAlignment w:val="baseline"/>
              <w:rPr>
                <w:rFonts w:ascii="Century" w:eastAsia="Times New Roman" w:hAnsi="Century" w:cs="Calibri"/>
                <w:color w:val="000000"/>
                <w:sz w:val="24"/>
                <w:szCs w:val="24"/>
              </w:rPr>
            </w:pPr>
            <w:r w:rsidRPr="002D7690">
              <w:rPr>
                <w:rFonts w:ascii="Century" w:eastAsia="Times New Roman" w:hAnsi="Century" w:cs="Calibri"/>
                <w:color w:val="000000"/>
                <w:sz w:val="24"/>
                <w:szCs w:val="24"/>
              </w:rPr>
              <w:t>Catholic schools are not "places of public accommodation" under the PA Human Relations Act and therefore would not be vulnerable to discrimination complaints on the basis of sexual orientation under that Act. If there is a local anti-discrimination ordinance in the municipality in which the school is located, that would have to be examined.</w:t>
            </w:r>
          </w:p>
          <w:p w14:paraId="54AC64E5" w14:textId="77777777" w:rsidR="002D7690" w:rsidRPr="002D7690" w:rsidRDefault="002D7690" w:rsidP="002D7690">
            <w:pPr>
              <w:shd w:val="clear" w:color="auto" w:fill="FFFFFF"/>
              <w:textAlignment w:val="baseline"/>
              <w:rPr>
                <w:rFonts w:ascii="Century" w:eastAsia="Times New Roman" w:hAnsi="Century" w:cs="Calibri"/>
                <w:color w:val="000000"/>
                <w:sz w:val="24"/>
                <w:szCs w:val="24"/>
              </w:rPr>
            </w:pPr>
          </w:p>
          <w:p w14:paraId="59E65A63" w14:textId="083F5786" w:rsidR="002D7690" w:rsidRPr="004B0C41" w:rsidRDefault="002D7690" w:rsidP="004B0C41">
            <w:pPr>
              <w:shd w:val="clear" w:color="auto" w:fill="FFFFFF"/>
              <w:textAlignment w:val="baseline"/>
              <w:rPr>
                <w:rFonts w:ascii="Century" w:eastAsia="Times New Roman" w:hAnsi="Century" w:cs="Calibri"/>
                <w:color w:val="000000"/>
                <w:sz w:val="24"/>
                <w:szCs w:val="24"/>
              </w:rPr>
            </w:pPr>
            <w:r w:rsidRPr="002D7690">
              <w:rPr>
                <w:rFonts w:ascii="Century" w:eastAsia="Times New Roman" w:hAnsi="Century" w:cs="Calibri"/>
                <w:color w:val="000000"/>
                <w:sz w:val="24"/>
                <w:szCs w:val="24"/>
              </w:rPr>
              <w:t>Catholic schools are likewise not "state actors" for purposes of student claims that their 1</w:t>
            </w:r>
            <w:r w:rsidRPr="002D7690">
              <w:rPr>
                <w:rFonts w:ascii="Century" w:eastAsia="Times New Roman" w:hAnsi="Century" w:cs="Calibri"/>
                <w:color w:val="000000"/>
                <w:sz w:val="24"/>
                <w:szCs w:val="24"/>
                <w:bdr w:val="none" w:sz="0" w:space="0" w:color="auto" w:frame="1"/>
                <w:vertAlign w:val="superscript"/>
              </w:rPr>
              <w:t>st</w:t>
            </w:r>
            <w:r w:rsidRPr="002D7690">
              <w:rPr>
                <w:rFonts w:ascii="Century" w:eastAsia="Times New Roman" w:hAnsi="Century" w:cs="Calibri"/>
                <w:color w:val="000000"/>
                <w:sz w:val="24"/>
                <w:szCs w:val="24"/>
                <w:bdr w:val="none" w:sz="0" w:space="0" w:color="auto" w:frame="1"/>
              </w:rPr>
              <w:t> Amendment free speech rights cannot be violated by the school. Catholic schools thus do not have to allow the same kinds of protests that a public school might contend with.</w:t>
            </w:r>
          </w:p>
        </w:tc>
      </w:tr>
    </w:tbl>
    <w:p w14:paraId="6D5E538F" w14:textId="77777777" w:rsidR="00643C09" w:rsidRDefault="00643C09">
      <w:bookmarkStart w:id="0" w:name="_GoBack"/>
      <w:bookmarkEnd w:id="0"/>
    </w:p>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00BB6" w14:textId="77777777" w:rsidR="0089205B" w:rsidRDefault="0089205B" w:rsidP="00274880">
      <w:pPr>
        <w:spacing w:after="0" w:line="240" w:lineRule="auto"/>
      </w:pPr>
      <w:r>
        <w:separator/>
      </w:r>
    </w:p>
  </w:endnote>
  <w:endnote w:type="continuationSeparator" w:id="0">
    <w:p w14:paraId="111653B9" w14:textId="77777777" w:rsidR="0089205B" w:rsidRDefault="0089205B"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23B503F5" w14:textId="77777777" w:rsidR="00A60E58" w:rsidRPr="00F85A92" w:rsidRDefault="00A60E58"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5D2EEC">
          <w:rPr>
            <w:rFonts w:ascii="Century" w:hAnsi="Century"/>
            <w:b/>
            <w:bCs/>
            <w:noProof/>
            <w:szCs w:val="20"/>
          </w:rPr>
          <w:t>4</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5D2EEC">
          <w:rPr>
            <w:rFonts w:ascii="Century" w:hAnsi="Century"/>
            <w:b/>
            <w:bCs/>
            <w:noProof/>
            <w:szCs w:val="20"/>
          </w:rPr>
          <w:t>4</w:t>
        </w:r>
        <w:r w:rsidRPr="00F85A92">
          <w:rPr>
            <w:rFonts w:ascii="Century" w:hAnsi="Century"/>
            <w:b/>
            <w:bCs/>
            <w:szCs w:val="20"/>
          </w:rPr>
          <w:fldChar w:fldCharType="end"/>
        </w:r>
      </w:p>
      <w:p w14:paraId="72659914" w14:textId="77777777" w:rsidR="00A60E58" w:rsidRPr="00F85A92" w:rsidRDefault="00A60E5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14:paraId="3EAE949E" w14:textId="77777777" w:rsidR="00A60E58" w:rsidRPr="00F85A92" w:rsidRDefault="00A60E5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14:paraId="4A885115" w14:textId="77777777" w:rsidR="00A60E58" w:rsidRPr="00F85A92" w:rsidRDefault="00A60E5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44C09205" w14:textId="77777777" w:rsidR="00A60E58" w:rsidRPr="00F85A92" w:rsidRDefault="00A60E58"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5D2EEC">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5D2EEC">
              <w:rPr>
                <w:rFonts w:ascii="Century" w:hAnsi="Century"/>
                <w:b/>
                <w:bCs/>
                <w:noProof/>
                <w:sz w:val="24"/>
              </w:rPr>
              <w:t>4</w:t>
            </w:r>
            <w:r w:rsidRPr="00F85A92">
              <w:rPr>
                <w:rFonts w:ascii="Century" w:hAnsi="Century"/>
                <w:b/>
                <w:bCs/>
                <w:sz w:val="28"/>
                <w:szCs w:val="24"/>
              </w:rPr>
              <w:fldChar w:fldCharType="end"/>
            </w:r>
          </w:p>
          <w:p w14:paraId="2AAE968B" w14:textId="77777777" w:rsidR="00A60E58" w:rsidRPr="00F85A92" w:rsidRDefault="00A60E58" w:rsidP="004133E3">
            <w:pPr>
              <w:pStyle w:val="Footer"/>
              <w:tabs>
                <w:tab w:val="clear" w:pos="4680"/>
                <w:tab w:val="clear" w:pos="9360"/>
                <w:tab w:val="left" w:pos="4320"/>
                <w:tab w:val="left" w:pos="7290"/>
                <w:tab w:val="right" w:pos="10800"/>
              </w:tabs>
              <w:rPr>
                <w:rFonts w:ascii="Century" w:hAnsi="Century"/>
                <w:sz w:val="20"/>
                <w:szCs w:val="20"/>
              </w:rPr>
            </w:pPr>
            <w:r w:rsidRPr="00F85A92">
              <w:rPr>
                <w:rFonts w:ascii="Century" w:hAnsi="Century"/>
                <w:sz w:val="20"/>
                <w:szCs w:val="20"/>
              </w:rPr>
              <w:t>__</w:t>
            </w:r>
            <w:r>
              <w:rPr>
                <w:rFonts w:ascii="Century" w:hAnsi="Century"/>
                <w:sz w:val="20"/>
                <w:szCs w:val="20"/>
              </w:rPr>
              <w:t>__</w:t>
            </w:r>
            <w:r w:rsidRPr="00F85A92">
              <w:rPr>
                <w:rFonts w:ascii="Century" w:hAnsi="Century"/>
                <w:sz w:val="20"/>
                <w:szCs w:val="20"/>
              </w:rPr>
              <w:t>_ Elementary</w:t>
            </w: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14:paraId="06D22C57" w14:textId="77777777" w:rsidR="00A60E58" w:rsidRPr="00F85A92" w:rsidRDefault="00A60E58" w:rsidP="004133E3">
            <w:pPr>
              <w:pStyle w:val="Footer"/>
              <w:tabs>
                <w:tab w:val="clear" w:pos="4680"/>
                <w:tab w:val="clear" w:pos="9360"/>
                <w:tab w:val="left" w:pos="4320"/>
                <w:tab w:val="left" w:pos="7290"/>
                <w:tab w:val="right" w:pos="10800"/>
              </w:tabs>
              <w:rPr>
                <w:rFonts w:ascii="Century" w:hAnsi="Century"/>
                <w:sz w:val="20"/>
                <w:szCs w:val="20"/>
              </w:rPr>
            </w:pPr>
            <w:r w:rsidRPr="00F85A92">
              <w:rPr>
                <w:rFonts w:ascii="Century" w:hAnsi="Century"/>
                <w:sz w:val="20"/>
                <w:szCs w:val="20"/>
              </w:rPr>
              <w:t>__</w:t>
            </w:r>
            <w:r>
              <w:rPr>
                <w:rFonts w:ascii="Century" w:hAnsi="Century"/>
                <w:sz w:val="20"/>
                <w:szCs w:val="20"/>
              </w:rPr>
              <w:t>__</w:t>
            </w:r>
            <w:r w:rsidRPr="00F85A92">
              <w:rPr>
                <w:rFonts w:ascii="Century" w:hAnsi="Century"/>
                <w:sz w:val="20"/>
                <w:szCs w:val="20"/>
              </w:rPr>
              <w:t>_ Secondary</w:t>
            </w: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47FBB0EA" w14:textId="77777777" w:rsidR="00A60E58" w:rsidRDefault="00A60E58" w:rsidP="00F85A92">
            <w:pPr>
              <w:pStyle w:val="Footer"/>
              <w:tabs>
                <w:tab w:val="clear" w:pos="4680"/>
                <w:tab w:val="clear" w:pos="9360"/>
                <w:tab w:val="left" w:pos="7290"/>
                <w:tab w:val="right" w:pos="10800"/>
              </w:tabs>
            </w:pPr>
            <w:r w:rsidRPr="00F85A92">
              <w:rPr>
                <w:rFonts w:ascii="Century" w:hAnsi="Century"/>
                <w:sz w:val="20"/>
                <w:szCs w:val="20"/>
              </w:rPr>
              <w:t>_</w:t>
            </w:r>
            <w:r>
              <w:rPr>
                <w:rFonts w:ascii="Century" w:hAnsi="Century"/>
                <w:sz w:val="20"/>
                <w:szCs w:val="20"/>
              </w:rPr>
              <w:t>__</w:t>
            </w:r>
            <w:r w:rsidRPr="00F85A92">
              <w:rPr>
                <w:rFonts w:ascii="Century" w:hAnsi="Century"/>
                <w:sz w:val="20"/>
                <w:szCs w:val="20"/>
              </w:rPr>
              <w:t>__ All</w:t>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14:paraId="1DBEDA66" w14:textId="77777777" w:rsidR="00A60E58" w:rsidRDefault="00A60E58"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1D976" w14:textId="77777777" w:rsidR="0089205B" w:rsidRDefault="0089205B" w:rsidP="00274880">
      <w:pPr>
        <w:spacing w:after="0" w:line="240" w:lineRule="auto"/>
      </w:pPr>
      <w:r>
        <w:separator/>
      </w:r>
    </w:p>
  </w:footnote>
  <w:footnote w:type="continuationSeparator" w:id="0">
    <w:p w14:paraId="075454BA" w14:textId="77777777" w:rsidR="0089205B" w:rsidRDefault="0089205B"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C7FBC" w14:textId="5BD8DF9F" w:rsidR="00A60E58" w:rsidRPr="00F85A92" w:rsidRDefault="00F80E37" w:rsidP="00F85A92">
    <w:pPr>
      <w:jc w:val="right"/>
      <w:rPr>
        <w:sz w:val="18"/>
      </w:rPr>
    </w:pPr>
    <w:r>
      <w:rPr>
        <w:rFonts w:ascii="Century" w:hAnsi="Century"/>
        <w:sz w:val="20"/>
        <w:szCs w:val="24"/>
      </w:rPr>
      <w:t>5011 Gender Ideology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AEC3D" w14:textId="75B01EFA" w:rsidR="00A60E58" w:rsidRPr="004133E3" w:rsidRDefault="00A60E58"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2B0D3CA5" wp14:editId="35DC5A89">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14:paraId="2625CB9C" w14:textId="77777777" w:rsidR="00A60E58" w:rsidRPr="004133E3" w:rsidRDefault="00A60E58"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14:paraId="1300E549" w14:textId="77777777" w:rsidR="00A60E58" w:rsidRPr="002F30CF" w:rsidRDefault="00A60E58"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2468CB2F" w14:textId="77777777" w:rsidR="00A60E58" w:rsidRDefault="00A60E58">
    <w:pPr>
      <w:pStyle w:val="Header"/>
      <w:rPr>
        <w:rFonts w:ascii="Century" w:hAnsi="Century"/>
      </w:rPr>
    </w:pPr>
  </w:p>
  <w:p w14:paraId="63477D40" w14:textId="77777777" w:rsidR="00A60E58" w:rsidRPr="00281D06" w:rsidRDefault="00A60E58">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0190A"/>
    <w:rsid w:val="001142AA"/>
    <w:rsid w:val="00194A1D"/>
    <w:rsid w:val="001B1CE3"/>
    <w:rsid w:val="00274880"/>
    <w:rsid w:val="00281D06"/>
    <w:rsid w:val="002B47C7"/>
    <w:rsid w:val="002D7690"/>
    <w:rsid w:val="00335B83"/>
    <w:rsid w:val="00340334"/>
    <w:rsid w:val="003A71C1"/>
    <w:rsid w:val="003E0103"/>
    <w:rsid w:val="004133E3"/>
    <w:rsid w:val="004972E3"/>
    <w:rsid w:val="004B0C41"/>
    <w:rsid w:val="00536478"/>
    <w:rsid w:val="00550A3C"/>
    <w:rsid w:val="005C5F45"/>
    <w:rsid w:val="005D2EEC"/>
    <w:rsid w:val="0060407B"/>
    <w:rsid w:val="006164D9"/>
    <w:rsid w:val="00643C09"/>
    <w:rsid w:val="00684045"/>
    <w:rsid w:val="006E24F9"/>
    <w:rsid w:val="00890368"/>
    <w:rsid w:val="0089205B"/>
    <w:rsid w:val="008F16FF"/>
    <w:rsid w:val="00964E27"/>
    <w:rsid w:val="00A41741"/>
    <w:rsid w:val="00A51528"/>
    <w:rsid w:val="00A60E58"/>
    <w:rsid w:val="00BC12C8"/>
    <w:rsid w:val="00BC6270"/>
    <w:rsid w:val="00D36A1C"/>
    <w:rsid w:val="00DE35A4"/>
    <w:rsid w:val="00E456FF"/>
    <w:rsid w:val="00E90B03"/>
    <w:rsid w:val="00F66108"/>
    <w:rsid w:val="00F80E37"/>
    <w:rsid w:val="00F822D9"/>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97490"/>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64044">
      <w:bodyDiv w:val="1"/>
      <w:marLeft w:val="0"/>
      <w:marRight w:val="0"/>
      <w:marTop w:val="0"/>
      <w:marBottom w:val="0"/>
      <w:divBdr>
        <w:top w:val="none" w:sz="0" w:space="0" w:color="auto"/>
        <w:left w:val="none" w:sz="0" w:space="0" w:color="auto"/>
        <w:bottom w:val="none" w:sz="0" w:space="0" w:color="auto"/>
        <w:right w:val="none" w:sz="0" w:space="0" w:color="auto"/>
      </w:divBdr>
      <w:divsChild>
        <w:div w:id="1371300436">
          <w:marLeft w:val="0"/>
          <w:marRight w:val="0"/>
          <w:marTop w:val="0"/>
          <w:marBottom w:val="0"/>
          <w:divBdr>
            <w:top w:val="none" w:sz="0" w:space="0" w:color="auto"/>
            <w:left w:val="none" w:sz="0" w:space="0" w:color="auto"/>
            <w:bottom w:val="none" w:sz="0" w:space="0" w:color="auto"/>
            <w:right w:val="none" w:sz="0" w:space="0" w:color="auto"/>
          </w:divBdr>
        </w:div>
        <w:div w:id="1610550870">
          <w:marLeft w:val="0"/>
          <w:marRight w:val="0"/>
          <w:marTop w:val="0"/>
          <w:marBottom w:val="0"/>
          <w:divBdr>
            <w:top w:val="none" w:sz="0" w:space="0" w:color="auto"/>
            <w:left w:val="none" w:sz="0" w:space="0" w:color="auto"/>
            <w:bottom w:val="none" w:sz="0" w:space="0" w:color="auto"/>
            <w:right w:val="none" w:sz="0" w:space="0" w:color="auto"/>
          </w:divBdr>
        </w:div>
        <w:div w:id="1965841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B6A57-7155-41AE-917E-9345D821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3E232EBA</Template>
  <TotalTime>8</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8</cp:revision>
  <dcterms:created xsi:type="dcterms:W3CDTF">2023-04-14T17:55:00Z</dcterms:created>
  <dcterms:modified xsi:type="dcterms:W3CDTF">2023-09-18T19:28:00Z</dcterms:modified>
</cp:coreProperties>
</file>