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3C4649" w:rsidRDefault="00DE35A4" w:rsidP="00DE35A4">
      <w:pPr>
        <w:pStyle w:val="NoSpacing"/>
        <w:tabs>
          <w:tab w:val="left" w:pos="2700"/>
        </w:tabs>
        <w:rPr>
          <w:rFonts w:ascii="Century" w:hAnsi="Century"/>
          <w:sz w:val="24"/>
        </w:rPr>
      </w:pPr>
      <w:r w:rsidRPr="003C4649">
        <w:rPr>
          <w:rFonts w:ascii="Century" w:hAnsi="Century"/>
          <w:sz w:val="24"/>
        </w:rPr>
        <w:t xml:space="preserve"> </w:t>
      </w:r>
    </w:p>
    <w:p w:rsidR="00DE35A4" w:rsidRPr="003C4649" w:rsidRDefault="00DE35A4" w:rsidP="0011234A">
      <w:pPr>
        <w:pStyle w:val="NoSpacing"/>
        <w:tabs>
          <w:tab w:val="left" w:pos="2700"/>
        </w:tabs>
        <w:spacing w:before="120" w:after="120"/>
        <w:jc w:val="center"/>
        <w:rPr>
          <w:rFonts w:ascii="Century" w:hAnsi="Century"/>
          <w:sz w:val="24"/>
        </w:rPr>
      </w:pPr>
      <w:r w:rsidRPr="003C4649">
        <w:rPr>
          <w:rFonts w:ascii="Century" w:hAnsi="Century"/>
          <w:b/>
          <w:smallCaps/>
          <w:sz w:val="24"/>
        </w:rPr>
        <w:t>Title</w:t>
      </w:r>
      <w:r w:rsidRPr="003C4649">
        <w:rPr>
          <w:rFonts w:ascii="Century" w:hAnsi="Century"/>
          <w:sz w:val="24"/>
        </w:rPr>
        <w:t xml:space="preserve">:  </w:t>
      </w:r>
      <w:r w:rsidR="00633842" w:rsidRPr="00633842">
        <w:rPr>
          <w:rFonts w:ascii="Century" w:hAnsi="Century"/>
          <w:b/>
          <w:sz w:val="24"/>
        </w:rPr>
        <w:t>4300</w:t>
      </w:r>
      <w:r w:rsidR="00633842">
        <w:rPr>
          <w:rFonts w:ascii="Century" w:hAnsi="Century"/>
          <w:sz w:val="24"/>
        </w:rPr>
        <w:t xml:space="preserve"> </w:t>
      </w:r>
      <w:r w:rsidR="00832327" w:rsidRPr="003C4649">
        <w:rPr>
          <w:rFonts w:ascii="Century" w:hAnsi="Century"/>
          <w:b/>
          <w:sz w:val="24"/>
        </w:rPr>
        <w:t>Student Health Records</w:t>
      </w:r>
    </w:p>
    <w:p w:rsidR="00DA6FA7" w:rsidRPr="003C4649"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RPr="003C4649" w:rsidTr="00F85A92">
        <w:trPr>
          <w:trHeight w:val="9800"/>
        </w:trPr>
        <w:tc>
          <w:tcPr>
            <w:tcW w:w="2695" w:type="dxa"/>
          </w:tcPr>
          <w:p w:rsidR="00643C09" w:rsidRPr="003C4649" w:rsidRDefault="00643C09" w:rsidP="00643C09">
            <w:pPr>
              <w:jc w:val="center"/>
              <w:rPr>
                <w:rFonts w:ascii="Century" w:hAnsi="Century"/>
              </w:rPr>
            </w:pPr>
          </w:p>
          <w:p w:rsidR="00274880" w:rsidRPr="003C4649" w:rsidRDefault="00274880" w:rsidP="00643C09">
            <w:pPr>
              <w:jc w:val="center"/>
              <w:rPr>
                <w:rFonts w:ascii="Century" w:hAnsi="Century"/>
              </w:rPr>
            </w:pPr>
          </w:p>
          <w:p w:rsidR="00032241" w:rsidRPr="003C4649" w:rsidRDefault="00032241" w:rsidP="00643C09">
            <w:pPr>
              <w:jc w:val="center"/>
              <w:rPr>
                <w:rFonts w:ascii="Century" w:hAnsi="Century"/>
              </w:rPr>
            </w:pPr>
          </w:p>
          <w:p w:rsidR="00032241" w:rsidRPr="003C4649" w:rsidRDefault="00032241" w:rsidP="00643C09">
            <w:pPr>
              <w:jc w:val="center"/>
              <w:rPr>
                <w:rFonts w:ascii="Century" w:hAnsi="Century"/>
              </w:rPr>
            </w:pPr>
          </w:p>
          <w:p w:rsidR="00032241" w:rsidRPr="003C4649" w:rsidRDefault="00032241" w:rsidP="004C085F">
            <w:pPr>
              <w:pStyle w:val="ListParagraph"/>
              <w:rPr>
                <w:rFonts w:ascii="Century" w:hAnsi="Century"/>
              </w:rPr>
            </w:pPr>
          </w:p>
        </w:tc>
        <w:tc>
          <w:tcPr>
            <w:tcW w:w="8190" w:type="dxa"/>
          </w:tcPr>
          <w:p w:rsidR="00032241" w:rsidRPr="003C4649" w:rsidRDefault="00032241" w:rsidP="0011234A">
            <w:pPr>
              <w:pStyle w:val="NoSpacing"/>
              <w:tabs>
                <w:tab w:val="left" w:pos="2700"/>
              </w:tabs>
              <w:spacing w:before="120" w:after="120"/>
              <w:jc w:val="center"/>
              <w:rPr>
                <w:rFonts w:ascii="Century" w:hAnsi="Century"/>
                <w:b/>
                <w:smallCaps/>
                <w:sz w:val="24"/>
                <w:highlight w:val="yellow"/>
              </w:rPr>
            </w:pPr>
          </w:p>
          <w:p w:rsidR="004C085F" w:rsidRPr="003C4649" w:rsidRDefault="00633842" w:rsidP="004C085F">
            <w:pPr>
              <w:pStyle w:val="NoSpacing"/>
              <w:tabs>
                <w:tab w:val="left" w:pos="2700"/>
              </w:tabs>
              <w:spacing w:before="120" w:after="120"/>
              <w:jc w:val="center"/>
              <w:rPr>
                <w:rFonts w:ascii="Century" w:hAnsi="Century"/>
                <w:sz w:val="24"/>
                <w:szCs w:val="24"/>
              </w:rPr>
            </w:pPr>
            <w:r>
              <w:rPr>
                <w:rFonts w:ascii="Century" w:hAnsi="Century"/>
                <w:b/>
                <w:smallCaps/>
                <w:sz w:val="24"/>
              </w:rPr>
              <w:t xml:space="preserve">4300 </w:t>
            </w:r>
            <w:r w:rsidR="00832327" w:rsidRPr="003C4649">
              <w:rPr>
                <w:rFonts w:ascii="Century" w:hAnsi="Century"/>
                <w:b/>
                <w:smallCaps/>
                <w:sz w:val="24"/>
              </w:rPr>
              <w:t>Student Health Records</w:t>
            </w:r>
          </w:p>
          <w:p w:rsidR="00032241" w:rsidRPr="003C4649" w:rsidRDefault="00032241" w:rsidP="00550A3C">
            <w:pPr>
              <w:rPr>
                <w:rFonts w:ascii="Century" w:hAnsi="Century"/>
                <w:sz w:val="24"/>
                <w:szCs w:val="24"/>
              </w:rPr>
            </w:pPr>
          </w:p>
          <w:p w:rsidR="003C4649" w:rsidRPr="003C4649" w:rsidRDefault="003C4649" w:rsidP="00550A3C">
            <w:pPr>
              <w:rPr>
                <w:rFonts w:ascii="Century" w:hAnsi="Century"/>
                <w:sz w:val="24"/>
                <w:szCs w:val="24"/>
              </w:rPr>
            </w:pPr>
            <w:r>
              <w:rPr>
                <w:rFonts w:ascii="Century" w:hAnsi="Century"/>
                <w:sz w:val="24"/>
              </w:rPr>
              <w:t>W</w:t>
            </w:r>
            <w:r w:rsidRPr="003C4649">
              <w:rPr>
                <w:rFonts w:ascii="Century" w:hAnsi="Century"/>
                <w:sz w:val="24"/>
              </w:rPr>
              <w:t>e are committed to safeguarding the health and well-being of our students. The confidentiality, security, and proper management of student health records are essential to providing a safe and supportive environment where each student can thrive. In alignment with both best practices in education and Catholic values of dignity and respect, we have developed these guidelines for the storage, retention, and disposal of student health records</w:t>
            </w:r>
            <w:r w:rsidRPr="003C4649">
              <w:rPr>
                <w:rFonts w:ascii="Century" w:hAnsi="Century"/>
              </w:rPr>
              <w:t>.</w:t>
            </w:r>
            <w:r>
              <w:rPr>
                <w:rFonts w:ascii="Century" w:hAnsi="Century"/>
              </w:rPr>
              <w:t xml:space="preserve"> </w:t>
            </w:r>
          </w:p>
          <w:p w:rsidR="00832327" w:rsidRPr="003C4649" w:rsidRDefault="00832327" w:rsidP="00832327">
            <w:pPr>
              <w:spacing w:before="100" w:beforeAutospacing="1" w:after="100" w:afterAutospacing="1"/>
              <w:outlineLvl w:val="2"/>
              <w:rPr>
                <w:rFonts w:ascii="Century" w:eastAsia="Times New Roman" w:hAnsi="Century" w:cs="Times New Roman"/>
                <w:b/>
                <w:bCs/>
                <w:sz w:val="27"/>
                <w:szCs w:val="27"/>
              </w:rPr>
            </w:pPr>
            <w:r w:rsidRPr="003C4649">
              <w:rPr>
                <w:rFonts w:ascii="Century" w:eastAsia="Times New Roman" w:hAnsi="Century" w:cs="Times New Roman"/>
                <w:b/>
                <w:bCs/>
                <w:sz w:val="27"/>
                <w:szCs w:val="27"/>
              </w:rPr>
              <w:t>1. Confidentiality and Privacy</w:t>
            </w:r>
          </w:p>
          <w:p w:rsidR="00832327" w:rsidRPr="003C4649" w:rsidRDefault="00832327" w:rsidP="00832327">
            <w:pPr>
              <w:numPr>
                <w:ilvl w:val="0"/>
                <w:numId w:val="6"/>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Access Control:</w:t>
            </w:r>
            <w:r w:rsidRPr="003C4649">
              <w:rPr>
                <w:rFonts w:ascii="Century" w:eastAsia="Times New Roman" w:hAnsi="Century" w:cs="Times New Roman"/>
                <w:sz w:val="24"/>
                <w:szCs w:val="24"/>
              </w:rPr>
              <w:t xml:space="preserve"> Limit access to health records to authorized personnel (nurses, principals, counselors, etc.). Keep a log of who accesses the records.</w:t>
            </w:r>
          </w:p>
          <w:p w:rsidR="00832327" w:rsidRPr="003C4649" w:rsidRDefault="00832327" w:rsidP="00832327">
            <w:pPr>
              <w:numPr>
                <w:ilvl w:val="0"/>
                <w:numId w:val="6"/>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Secure Storage:</w:t>
            </w:r>
            <w:r w:rsidRPr="003C4649">
              <w:rPr>
                <w:rFonts w:ascii="Century" w:eastAsia="Times New Roman" w:hAnsi="Century" w:cs="Times New Roman"/>
                <w:sz w:val="24"/>
                <w:szCs w:val="24"/>
              </w:rPr>
              <w:t xml:space="preserve"> Use locked physical storage for health records. </w:t>
            </w:r>
          </w:p>
          <w:p w:rsidR="00832327" w:rsidRPr="003C4649" w:rsidRDefault="00832327" w:rsidP="00832327">
            <w:pPr>
              <w:numPr>
                <w:ilvl w:val="0"/>
                <w:numId w:val="6"/>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Retention of Consent Forms:</w:t>
            </w:r>
            <w:r w:rsidRPr="003C4649">
              <w:rPr>
                <w:rFonts w:ascii="Century" w:eastAsia="Times New Roman" w:hAnsi="Century" w:cs="Times New Roman"/>
                <w:sz w:val="24"/>
                <w:szCs w:val="24"/>
              </w:rPr>
              <w:t xml:space="preserve"> Any signed consent forms for medical care or sharing health information should be stored separately in a secured system, clearly identified, and easily accessible when needed.</w:t>
            </w:r>
          </w:p>
          <w:p w:rsidR="00832327" w:rsidRPr="003C4649" w:rsidRDefault="00832327" w:rsidP="00832327">
            <w:pPr>
              <w:spacing w:before="100" w:beforeAutospacing="1" w:after="100" w:afterAutospacing="1"/>
              <w:outlineLvl w:val="2"/>
              <w:rPr>
                <w:rFonts w:ascii="Century" w:eastAsia="Times New Roman" w:hAnsi="Century" w:cs="Times New Roman"/>
                <w:b/>
                <w:bCs/>
                <w:sz w:val="27"/>
                <w:szCs w:val="27"/>
              </w:rPr>
            </w:pPr>
            <w:r w:rsidRPr="003C4649">
              <w:rPr>
                <w:rFonts w:ascii="Century" w:eastAsia="Times New Roman" w:hAnsi="Century" w:cs="Times New Roman"/>
                <w:b/>
                <w:bCs/>
                <w:sz w:val="27"/>
                <w:szCs w:val="27"/>
              </w:rPr>
              <w:t>2. Retention Periods</w:t>
            </w:r>
          </w:p>
          <w:p w:rsidR="00832327" w:rsidRPr="003C4649" w:rsidRDefault="00832327" w:rsidP="00832327">
            <w:pPr>
              <w:numPr>
                <w:ilvl w:val="0"/>
                <w:numId w:val="7"/>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Retention Duration:</w:t>
            </w:r>
            <w:r w:rsidRPr="003C4649">
              <w:rPr>
                <w:rFonts w:ascii="Century" w:eastAsia="Times New Roman" w:hAnsi="Century" w:cs="Times New Roman"/>
                <w:sz w:val="24"/>
                <w:szCs w:val="24"/>
              </w:rPr>
              <w:t xml:space="preserve"> Retain health records for a minimum period of 7 years after the student graduates or leaves the school. Some diocesan policies may recommend extending this, especially for records related to student well-being.</w:t>
            </w:r>
          </w:p>
          <w:p w:rsidR="00832327" w:rsidRPr="003C4649" w:rsidRDefault="00832327" w:rsidP="00832327">
            <w:pPr>
              <w:numPr>
                <w:ilvl w:val="0"/>
                <w:numId w:val="7"/>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 xml:space="preserve">Review of </w:t>
            </w:r>
            <w:r w:rsidR="003C4649">
              <w:rPr>
                <w:rFonts w:ascii="Century" w:eastAsia="Times New Roman" w:hAnsi="Century" w:cs="Times New Roman"/>
                <w:b/>
                <w:bCs/>
                <w:sz w:val="24"/>
                <w:szCs w:val="24"/>
              </w:rPr>
              <w:t>Records</w:t>
            </w:r>
            <w:r w:rsidRPr="003C4649">
              <w:rPr>
                <w:rFonts w:ascii="Century" w:eastAsia="Times New Roman" w:hAnsi="Century" w:cs="Times New Roman"/>
                <w:b/>
                <w:bCs/>
                <w:sz w:val="24"/>
                <w:szCs w:val="24"/>
              </w:rPr>
              <w:t>:</w:t>
            </w:r>
            <w:r w:rsidRPr="003C4649">
              <w:rPr>
                <w:rFonts w:ascii="Century" w:eastAsia="Times New Roman" w:hAnsi="Century" w:cs="Times New Roman"/>
                <w:sz w:val="24"/>
                <w:szCs w:val="24"/>
              </w:rPr>
              <w:t xml:space="preserve"> Annually review the health records to ensure that outdated records are properly disposed of or archived.</w:t>
            </w:r>
          </w:p>
          <w:p w:rsidR="00832327" w:rsidRPr="003C4649" w:rsidRDefault="00832327" w:rsidP="00832327">
            <w:pPr>
              <w:spacing w:before="100" w:beforeAutospacing="1" w:after="100" w:afterAutospacing="1"/>
              <w:outlineLvl w:val="2"/>
              <w:rPr>
                <w:rFonts w:ascii="Century" w:eastAsia="Times New Roman" w:hAnsi="Century" w:cs="Times New Roman"/>
                <w:b/>
                <w:bCs/>
                <w:sz w:val="27"/>
                <w:szCs w:val="27"/>
              </w:rPr>
            </w:pPr>
            <w:r w:rsidRPr="003C4649">
              <w:rPr>
                <w:rFonts w:ascii="Century" w:eastAsia="Times New Roman" w:hAnsi="Century" w:cs="Times New Roman"/>
                <w:b/>
                <w:bCs/>
                <w:sz w:val="27"/>
                <w:szCs w:val="27"/>
              </w:rPr>
              <w:t>3. Access by Parents/Guardians</w:t>
            </w:r>
          </w:p>
          <w:p w:rsidR="00832327" w:rsidRPr="003C4649" w:rsidRDefault="00832327" w:rsidP="00832327">
            <w:pPr>
              <w:numPr>
                <w:ilvl w:val="0"/>
                <w:numId w:val="8"/>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Parental Access:</w:t>
            </w:r>
            <w:r w:rsidRPr="003C4649">
              <w:rPr>
                <w:rFonts w:ascii="Century" w:eastAsia="Times New Roman" w:hAnsi="Century" w:cs="Times New Roman"/>
                <w:sz w:val="24"/>
                <w:szCs w:val="24"/>
              </w:rPr>
              <w:t xml:space="preserve"> In line with Catholic values of transparency, parents should be able to access health records when appropriate, unless doing so would violate privacy or endanger the child.</w:t>
            </w:r>
          </w:p>
          <w:p w:rsidR="00832327" w:rsidRPr="003C4649" w:rsidRDefault="00832327" w:rsidP="00832327">
            <w:pPr>
              <w:numPr>
                <w:ilvl w:val="0"/>
                <w:numId w:val="8"/>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lastRenderedPageBreak/>
              <w:t>Documentation of Requests:</w:t>
            </w:r>
            <w:r w:rsidRPr="003C4649">
              <w:rPr>
                <w:rFonts w:ascii="Century" w:eastAsia="Times New Roman" w:hAnsi="Century" w:cs="Times New Roman"/>
                <w:sz w:val="24"/>
                <w:szCs w:val="24"/>
              </w:rPr>
              <w:t xml:space="preserve"> Any request for records by parents should be documented, including a brief note on why access is granted or denied.</w:t>
            </w:r>
          </w:p>
          <w:p w:rsidR="00832327" w:rsidRPr="003C4649" w:rsidRDefault="00832327" w:rsidP="00832327">
            <w:pPr>
              <w:spacing w:before="100" w:beforeAutospacing="1" w:after="100" w:afterAutospacing="1"/>
              <w:outlineLvl w:val="2"/>
              <w:rPr>
                <w:rFonts w:ascii="Century" w:eastAsia="Times New Roman" w:hAnsi="Century" w:cs="Times New Roman"/>
                <w:b/>
                <w:bCs/>
                <w:sz w:val="27"/>
                <w:szCs w:val="27"/>
              </w:rPr>
            </w:pPr>
            <w:r w:rsidRPr="003C4649">
              <w:rPr>
                <w:rFonts w:ascii="Century" w:eastAsia="Times New Roman" w:hAnsi="Century" w:cs="Times New Roman"/>
                <w:b/>
                <w:bCs/>
                <w:sz w:val="27"/>
                <w:szCs w:val="27"/>
              </w:rPr>
              <w:t>5. Disposal of Health Records</w:t>
            </w:r>
          </w:p>
          <w:p w:rsidR="00832327" w:rsidRPr="003C4649" w:rsidRDefault="00832327" w:rsidP="00832327">
            <w:pPr>
              <w:spacing w:before="100" w:beforeAutospacing="1" w:after="100" w:afterAutospacing="1"/>
              <w:ind w:left="360"/>
              <w:rPr>
                <w:rFonts w:ascii="Century" w:eastAsia="Times New Roman" w:hAnsi="Century" w:cs="Times New Roman"/>
                <w:sz w:val="24"/>
                <w:szCs w:val="24"/>
              </w:rPr>
            </w:pPr>
            <w:r w:rsidRPr="003C4649">
              <w:rPr>
                <w:rFonts w:ascii="Century" w:eastAsia="Times New Roman" w:hAnsi="Century" w:cs="Times New Roman"/>
                <w:b/>
                <w:bCs/>
                <w:sz w:val="24"/>
                <w:szCs w:val="24"/>
              </w:rPr>
              <w:t>Physical Records:</w:t>
            </w:r>
            <w:r w:rsidRPr="003C4649">
              <w:rPr>
                <w:rFonts w:ascii="Century" w:eastAsia="Times New Roman" w:hAnsi="Century" w:cs="Times New Roman"/>
                <w:sz w:val="24"/>
                <w:szCs w:val="24"/>
              </w:rPr>
              <w:t xml:space="preserve"> Shred documents that are no longer needed to ensure confidentiality</w:t>
            </w:r>
          </w:p>
          <w:p w:rsidR="00832327" w:rsidRPr="003C4649" w:rsidRDefault="00832327" w:rsidP="00832327">
            <w:pPr>
              <w:spacing w:before="100" w:beforeAutospacing="1" w:after="100" w:afterAutospacing="1"/>
              <w:outlineLvl w:val="2"/>
              <w:rPr>
                <w:rFonts w:ascii="Century" w:eastAsia="Times New Roman" w:hAnsi="Century" w:cs="Times New Roman"/>
                <w:b/>
                <w:bCs/>
                <w:sz w:val="27"/>
                <w:szCs w:val="27"/>
              </w:rPr>
            </w:pPr>
            <w:r w:rsidRPr="003C4649">
              <w:rPr>
                <w:rFonts w:ascii="Century" w:eastAsia="Times New Roman" w:hAnsi="Century" w:cs="Times New Roman"/>
                <w:b/>
                <w:bCs/>
                <w:sz w:val="27"/>
                <w:szCs w:val="27"/>
              </w:rPr>
              <w:t>6. Staff Training</w:t>
            </w:r>
          </w:p>
          <w:p w:rsidR="00832327" w:rsidRPr="003C4649" w:rsidRDefault="00832327" w:rsidP="00832327">
            <w:pPr>
              <w:numPr>
                <w:ilvl w:val="0"/>
                <w:numId w:val="10"/>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Confidentiality Training:</w:t>
            </w:r>
            <w:r w:rsidRPr="003C4649">
              <w:rPr>
                <w:rFonts w:ascii="Century" w:eastAsia="Times New Roman" w:hAnsi="Century" w:cs="Times New Roman"/>
                <w:sz w:val="24"/>
                <w:szCs w:val="24"/>
              </w:rPr>
              <w:t xml:space="preserve"> Regularly train staff on confidentiality, privacy laws, and the school’s health record policies. Catholic school staff should understand the importance of safeguarding students' health records as part of the school’s responsibility to care for the dignity and well-being of students.</w:t>
            </w:r>
          </w:p>
          <w:p w:rsidR="00832327" w:rsidRPr="003C4649" w:rsidRDefault="00832327" w:rsidP="00832327">
            <w:pPr>
              <w:numPr>
                <w:ilvl w:val="0"/>
                <w:numId w:val="10"/>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Emergency Protocols:</w:t>
            </w:r>
            <w:r w:rsidRPr="003C4649">
              <w:rPr>
                <w:rFonts w:ascii="Century" w:eastAsia="Times New Roman" w:hAnsi="Century" w:cs="Times New Roman"/>
                <w:sz w:val="24"/>
                <w:szCs w:val="24"/>
              </w:rPr>
              <w:t xml:space="preserve"> Ensure that staff are clear on procedures for releasing health information in an emergency (e.g., an off-campus field trip) and that this aligns with Catholic teachings on protecting life.</w:t>
            </w:r>
          </w:p>
          <w:p w:rsidR="00832327" w:rsidRPr="003C4649" w:rsidRDefault="00832327" w:rsidP="00832327">
            <w:pPr>
              <w:spacing w:before="100" w:beforeAutospacing="1" w:after="100" w:afterAutospacing="1"/>
              <w:outlineLvl w:val="2"/>
              <w:rPr>
                <w:rFonts w:ascii="Century" w:eastAsia="Times New Roman" w:hAnsi="Century" w:cs="Times New Roman"/>
                <w:b/>
                <w:bCs/>
                <w:sz w:val="27"/>
                <w:szCs w:val="27"/>
              </w:rPr>
            </w:pPr>
            <w:r w:rsidRPr="003C4649">
              <w:rPr>
                <w:rFonts w:ascii="Century" w:eastAsia="Times New Roman" w:hAnsi="Century" w:cs="Times New Roman"/>
                <w:b/>
                <w:bCs/>
                <w:sz w:val="27"/>
                <w:szCs w:val="27"/>
              </w:rPr>
              <w:t>7. Collaboration with External Medical Providers</w:t>
            </w:r>
          </w:p>
          <w:p w:rsidR="00832327" w:rsidRPr="003C4649" w:rsidRDefault="00832327" w:rsidP="00832327">
            <w:pPr>
              <w:numPr>
                <w:ilvl w:val="0"/>
                <w:numId w:val="11"/>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Coordination with Healthcare Providers:</w:t>
            </w:r>
            <w:r w:rsidRPr="003C4649">
              <w:rPr>
                <w:rFonts w:ascii="Century" w:eastAsia="Times New Roman" w:hAnsi="Century" w:cs="Times New Roman"/>
                <w:sz w:val="24"/>
                <w:szCs w:val="24"/>
              </w:rPr>
              <w:t xml:space="preserve"> Have a clear policy in place for sharing records with external medical providers (with parental consent). This may include coordination with local hospitals or doctors' offices, particularly if they provide health services to students on school premises.</w:t>
            </w:r>
          </w:p>
          <w:p w:rsidR="00832327" w:rsidRPr="003C4649" w:rsidRDefault="00832327" w:rsidP="00832327">
            <w:pPr>
              <w:numPr>
                <w:ilvl w:val="0"/>
                <w:numId w:val="11"/>
              </w:numPr>
              <w:spacing w:before="100" w:beforeAutospacing="1" w:after="100" w:afterAutospacing="1"/>
              <w:rPr>
                <w:rFonts w:ascii="Century" w:eastAsia="Times New Roman" w:hAnsi="Century" w:cs="Times New Roman"/>
                <w:sz w:val="24"/>
                <w:szCs w:val="24"/>
              </w:rPr>
            </w:pPr>
            <w:r w:rsidRPr="003C4649">
              <w:rPr>
                <w:rFonts w:ascii="Century" w:eastAsia="Times New Roman" w:hAnsi="Century" w:cs="Times New Roman"/>
                <w:b/>
                <w:bCs/>
                <w:sz w:val="24"/>
                <w:szCs w:val="24"/>
              </w:rPr>
              <w:t>Confidentiality Agreements:</w:t>
            </w:r>
            <w:r w:rsidRPr="003C4649">
              <w:rPr>
                <w:rFonts w:ascii="Century" w:eastAsia="Times New Roman" w:hAnsi="Century" w:cs="Times New Roman"/>
                <w:sz w:val="24"/>
                <w:szCs w:val="24"/>
              </w:rPr>
              <w:t xml:space="preserve"> When working with outside providers, ensure they follow strict confidentiality agreements in line with Catholic values of respect for life and dignity.</w:t>
            </w:r>
          </w:p>
          <w:p w:rsidR="00832327" w:rsidRPr="00F70ABC" w:rsidRDefault="00F70ABC" w:rsidP="00550A3C">
            <w:pPr>
              <w:rPr>
                <w:rFonts w:ascii="Century" w:hAnsi="Century"/>
                <w:sz w:val="24"/>
                <w:szCs w:val="24"/>
              </w:rPr>
            </w:pPr>
            <w:r w:rsidRPr="00F70ABC">
              <w:rPr>
                <w:rFonts w:ascii="Century" w:hAnsi="Century"/>
                <w:sz w:val="24"/>
                <w:szCs w:val="24"/>
              </w:rPr>
              <w:t>See Attachment I for Access Log</w:t>
            </w:r>
          </w:p>
          <w:p w:rsidR="00832327" w:rsidRPr="003C4649" w:rsidRDefault="00832327" w:rsidP="00550A3C">
            <w:pPr>
              <w:rPr>
                <w:rFonts w:ascii="Century" w:hAnsi="Century"/>
                <w:sz w:val="24"/>
                <w:szCs w:val="24"/>
                <w:highlight w:val="yellow"/>
              </w:rPr>
            </w:pPr>
          </w:p>
        </w:tc>
      </w:tr>
    </w:tbl>
    <w:p w:rsidR="00643C09" w:rsidRPr="003C4649" w:rsidRDefault="00643C09">
      <w:pPr>
        <w:rPr>
          <w:rFonts w:ascii="Century" w:hAnsi="Century"/>
        </w:rPr>
      </w:pPr>
      <w:bookmarkStart w:id="0" w:name="_GoBack"/>
      <w:bookmarkEnd w:id="0"/>
    </w:p>
    <w:sectPr w:rsidR="00643C09" w:rsidRPr="003C464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49" w:rsidRDefault="003C4649" w:rsidP="00274880">
      <w:pPr>
        <w:spacing w:after="0" w:line="240" w:lineRule="auto"/>
      </w:pPr>
      <w:r>
        <w:separator/>
      </w:r>
    </w:p>
  </w:endnote>
  <w:endnote w:type="continuationSeparator" w:id="0">
    <w:p w:rsidR="003C4649" w:rsidRDefault="003C4649"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3C4649" w:rsidRPr="00F85A92" w:rsidRDefault="003C4649"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683672">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683672">
          <w:rPr>
            <w:rFonts w:ascii="Century" w:hAnsi="Century"/>
            <w:b/>
            <w:bCs/>
            <w:noProof/>
            <w:szCs w:val="20"/>
          </w:rPr>
          <w:t>2</w:t>
        </w:r>
        <w:r w:rsidRPr="00F85A92">
          <w:rPr>
            <w:rFonts w:ascii="Century" w:hAnsi="Century"/>
            <w:b/>
            <w:bCs/>
            <w:szCs w:val="20"/>
          </w:rPr>
          <w:fldChar w:fldCharType="end"/>
        </w:r>
      </w:p>
      <w:p w:rsidR="00F70ABC" w:rsidRDefault="00F70ABC" w:rsidP="00F70ABC">
        <w:pPr>
          <w:pStyle w:val="Footer"/>
          <w:tabs>
            <w:tab w:val="clear" w:pos="4680"/>
            <w:tab w:val="clear" w:pos="9360"/>
            <w:tab w:val="left" w:pos="7290"/>
            <w:tab w:val="right" w:pos="10800"/>
          </w:tabs>
        </w:pPr>
        <w:r>
          <w:t xml:space="preserve">Adopted: </w:t>
        </w:r>
        <w:r w:rsidR="00683672">
          <w:t>2/1/2025</w:t>
        </w:r>
      </w:p>
      <w:p w:rsidR="003C4649" w:rsidRPr="00F70ABC" w:rsidRDefault="00F70ABC" w:rsidP="00F70ABC">
        <w:pPr>
          <w:pStyle w:val="Footer"/>
          <w:tabs>
            <w:tab w:val="clear" w:pos="4680"/>
            <w:tab w:val="left" w:pos="7290"/>
          </w:tabs>
        </w:pPr>
        <w: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3C4649" w:rsidRPr="00F85A92" w:rsidRDefault="003C4649"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683672">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683672">
              <w:rPr>
                <w:rFonts w:ascii="Century" w:hAnsi="Century"/>
                <w:b/>
                <w:bCs/>
                <w:noProof/>
                <w:sz w:val="24"/>
              </w:rPr>
              <w:t>2</w:t>
            </w:r>
            <w:r w:rsidRPr="00F85A92">
              <w:rPr>
                <w:rFonts w:ascii="Century" w:hAnsi="Century"/>
                <w:b/>
                <w:bCs/>
                <w:sz w:val="28"/>
                <w:szCs w:val="24"/>
              </w:rPr>
              <w:fldChar w:fldCharType="end"/>
            </w:r>
          </w:p>
          <w:p w:rsidR="003C4649" w:rsidRDefault="003C4649"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3C4649" w:rsidRDefault="003C4649" w:rsidP="004C085F">
    <w:pPr>
      <w:pStyle w:val="Footer"/>
      <w:tabs>
        <w:tab w:val="clear" w:pos="4680"/>
        <w:tab w:val="clear" w:pos="9360"/>
        <w:tab w:val="left" w:pos="7290"/>
        <w:tab w:val="right" w:pos="10800"/>
      </w:tabs>
    </w:pPr>
    <w:r>
      <w:t xml:space="preserve">Adopted: </w:t>
    </w:r>
    <w:r w:rsidR="00683672">
      <w:t>2/1/2025</w:t>
    </w:r>
  </w:p>
  <w:p w:rsidR="003C4649" w:rsidRDefault="003C4649"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49" w:rsidRDefault="003C4649" w:rsidP="00274880">
      <w:pPr>
        <w:spacing w:after="0" w:line="240" w:lineRule="auto"/>
      </w:pPr>
      <w:r>
        <w:separator/>
      </w:r>
    </w:p>
  </w:footnote>
  <w:footnote w:type="continuationSeparator" w:id="0">
    <w:p w:rsidR="003C4649" w:rsidRDefault="003C4649"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49" w:rsidRPr="00F85A92" w:rsidRDefault="003C4649"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49" w:rsidRPr="002F30CF" w:rsidRDefault="003C4649"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2F30CF">
      <w:rPr>
        <w:rFonts w:ascii="Century" w:hAnsi="Century"/>
        <w:b/>
        <w:color w:val="1F3864"/>
        <w:sz w:val="40"/>
        <w:szCs w:val="44"/>
      </w:rPr>
      <w:t>Diocese of Altoona-Johnstown</w:t>
    </w:r>
  </w:p>
  <w:p w:rsidR="003C4649" w:rsidRDefault="003C4649">
    <w:pPr>
      <w:pStyle w:val="Header"/>
      <w:rPr>
        <w:rFonts w:ascii="Century" w:hAnsi="Century"/>
      </w:rPr>
    </w:pPr>
  </w:p>
  <w:p w:rsidR="003C4649" w:rsidRPr="00281D06" w:rsidRDefault="003C4649">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F7996"/>
    <w:multiLevelType w:val="multilevel"/>
    <w:tmpl w:val="8C7E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C0071"/>
    <w:multiLevelType w:val="multilevel"/>
    <w:tmpl w:val="1E3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40501"/>
    <w:multiLevelType w:val="multilevel"/>
    <w:tmpl w:val="6FCA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A561A"/>
    <w:multiLevelType w:val="multilevel"/>
    <w:tmpl w:val="CA3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F342B"/>
    <w:multiLevelType w:val="multilevel"/>
    <w:tmpl w:val="065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176A3"/>
    <w:multiLevelType w:val="multilevel"/>
    <w:tmpl w:val="3194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0"/>
  </w:num>
  <w:num w:numId="6">
    <w:abstractNumId w:val="6"/>
  </w:num>
  <w:num w:numId="7">
    <w:abstractNumId w:val="4"/>
  </w:num>
  <w:num w:numId="8">
    <w:abstractNumId w:val="3"/>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B1CE3"/>
    <w:rsid w:val="00274880"/>
    <w:rsid w:val="00281D06"/>
    <w:rsid w:val="003C4649"/>
    <w:rsid w:val="004133E3"/>
    <w:rsid w:val="0047201B"/>
    <w:rsid w:val="004C085F"/>
    <w:rsid w:val="00550A3C"/>
    <w:rsid w:val="005C5F45"/>
    <w:rsid w:val="006164D9"/>
    <w:rsid w:val="00633842"/>
    <w:rsid w:val="00643C09"/>
    <w:rsid w:val="00683672"/>
    <w:rsid w:val="007F1389"/>
    <w:rsid w:val="00832327"/>
    <w:rsid w:val="00890368"/>
    <w:rsid w:val="008F16FF"/>
    <w:rsid w:val="00964E27"/>
    <w:rsid w:val="00A41741"/>
    <w:rsid w:val="00A51528"/>
    <w:rsid w:val="00BC12C8"/>
    <w:rsid w:val="00BC6270"/>
    <w:rsid w:val="00D356E5"/>
    <w:rsid w:val="00D36A1C"/>
    <w:rsid w:val="00DA6FA7"/>
    <w:rsid w:val="00DE35A4"/>
    <w:rsid w:val="00E90B03"/>
    <w:rsid w:val="00F66108"/>
    <w:rsid w:val="00F70ABC"/>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633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EFAC-730D-49F0-A5AE-C0AEDDD3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EA814663</Template>
  <TotalTime>2</TotalTime>
  <Pages>2</Pages>
  <Words>386</Words>
  <Characters>2538</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cp:lastPrinted>2025-02-10T19:34:00Z</cp:lastPrinted>
  <dcterms:created xsi:type="dcterms:W3CDTF">2025-02-10T19:39:00Z</dcterms:created>
  <dcterms:modified xsi:type="dcterms:W3CDTF">2025-02-12T14:21:00Z</dcterms:modified>
</cp:coreProperties>
</file>