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DE35A4" w:rsidRDefault="00DE35A4" w:rsidP="0011234A">
      <w:pPr>
        <w:pStyle w:val="NoSpacing"/>
        <w:tabs>
          <w:tab w:val="left" w:pos="2700"/>
        </w:tabs>
        <w:spacing w:before="120" w:after="120"/>
        <w:jc w:val="center"/>
        <w:rPr>
          <w:rFonts w:ascii="Century" w:hAnsi="Century"/>
          <w:sz w:val="24"/>
        </w:rPr>
      </w:pPr>
      <w:r w:rsidRPr="00DE35A4">
        <w:rPr>
          <w:rFonts w:ascii="Century" w:hAnsi="Century"/>
          <w:b/>
          <w:smallCaps/>
          <w:sz w:val="24"/>
        </w:rPr>
        <w:t>Title</w:t>
      </w:r>
      <w:r w:rsidRPr="00DE35A4">
        <w:rPr>
          <w:rFonts w:ascii="Century" w:hAnsi="Century"/>
          <w:sz w:val="24"/>
        </w:rPr>
        <w:t xml:space="preserve">: </w:t>
      </w:r>
      <w:r w:rsidR="00151FA3" w:rsidRPr="00151FA3">
        <w:rPr>
          <w:rFonts w:ascii="Century" w:hAnsi="Century"/>
          <w:b/>
          <w:sz w:val="24"/>
        </w:rPr>
        <w:t>1300</w:t>
      </w:r>
      <w:r w:rsidR="00151FA3">
        <w:rPr>
          <w:rFonts w:ascii="Century" w:hAnsi="Century"/>
          <w:sz w:val="24"/>
        </w:rPr>
        <w:t xml:space="preserve"> </w:t>
      </w:r>
      <w:r w:rsidR="0011234A" w:rsidRPr="00151FA3">
        <w:rPr>
          <w:rFonts w:ascii="Century" w:hAnsi="Century"/>
          <w:b/>
          <w:sz w:val="24"/>
        </w:rPr>
        <w:t>Megan’s Law</w:t>
      </w:r>
    </w:p>
    <w:p w:rsidR="00DA6FA7" w:rsidRPr="00964E27" w:rsidRDefault="00DA6FA7"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Default="00274880" w:rsidP="00643C09">
            <w:pPr>
              <w:jc w:val="center"/>
              <w:rPr>
                <w:rFonts w:ascii="Century" w:hAnsi="Century"/>
              </w:rPr>
            </w:pPr>
          </w:p>
          <w:p w:rsidR="00032241" w:rsidRDefault="00032241" w:rsidP="00643C09">
            <w:pPr>
              <w:jc w:val="center"/>
              <w:rPr>
                <w:rFonts w:ascii="Century" w:hAnsi="Century"/>
              </w:rPr>
            </w:pPr>
          </w:p>
          <w:p w:rsidR="00032241" w:rsidRDefault="00032241" w:rsidP="00643C09">
            <w:pPr>
              <w:jc w:val="center"/>
              <w:rPr>
                <w:rFonts w:ascii="Century" w:hAnsi="Century"/>
              </w:rPr>
            </w:pPr>
          </w:p>
          <w:p w:rsidR="00032241" w:rsidRDefault="00032241" w:rsidP="00643C09">
            <w:pPr>
              <w:jc w:val="center"/>
              <w:rPr>
                <w:rFonts w:ascii="Century" w:hAnsi="Century"/>
              </w:rPr>
            </w:pPr>
          </w:p>
          <w:p w:rsidR="00032241" w:rsidRDefault="00032241" w:rsidP="00032241">
            <w:pPr>
              <w:pStyle w:val="ListParagraph"/>
              <w:numPr>
                <w:ilvl w:val="0"/>
                <w:numId w:val="5"/>
              </w:numPr>
              <w:jc w:val="center"/>
              <w:rPr>
                <w:rFonts w:ascii="Century" w:hAnsi="Century"/>
              </w:rPr>
            </w:pPr>
            <w:r>
              <w:rPr>
                <w:rFonts w:ascii="Century" w:hAnsi="Century"/>
              </w:rPr>
              <w:t xml:space="preserve">Authority </w:t>
            </w:r>
          </w:p>
          <w:p w:rsidR="00032241" w:rsidRDefault="00032241" w:rsidP="00032241">
            <w:pPr>
              <w:pStyle w:val="ListParagraph"/>
              <w:rPr>
                <w:rFonts w:ascii="Century" w:hAnsi="Century"/>
              </w:rPr>
            </w:pPr>
            <w:r>
              <w:rPr>
                <w:rFonts w:ascii="Century" w:hAnsi="Century"/>
              </w:rPr>
              <w:t xml:space="preserve">42 Pa. C.S.A. Sec. 9791 et </w:t>
            </w:r>
            <w:proofErr w:type="spellStart"/>
            <w:r>
              <w:rPr>
                <w:rFonts w:ascii="Century" w:hAnsi="Century"/>
              </w:rPr>
              <w:t>seq</w:t>
            </w:r>
            <w:proofErr w:type="spellEnd"/>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Default="00032241" w:rsidP="00032241">
            <w:pPr>
              <w:pStyle w:val="ListParagraph"/>
              <w:numPr>
                <w:ilvl w:val="0"/>
                <w:numId w:val="5"/>
              </w:numPr>
              <w:rPr>
                <w:rFonts w:ascii="Century" w:hAnsi="Century"/>
              </w:rPr>
            </w:pPr>
            <w:r>
              <w:rPr>
                <w:rFonts w:ascii="Century" w:hAnsi="Century"/>
              </w:rPr>
              <w:t xml:space="preserve">Delegation of Responsibility Title 37 </w:t>
            </w:r>
          </w:p>
          <w:p w:rsidR="00032241" w:rsidRDefault="00032241" w:rsidP="00032241">
            <w:pPr>
              <w:pStyle w:val="ListParagraph"/>
              <w:rPr>
                <w:rFonts w:ascii="Century" w:hAnsi="Century"/>
              </w:rPr>
            </w:pPr>
            <w:r>
              <w:rPr>
                <w:rFonts w:ascii="Century" w:hAnsi="Century"/>
              </w:rPr>
              <w:t xml:space="preserve">Sec. 56.4 </w:t>
            </w:r>
          </w:p>
          <w:p w:rsidR="00032241" w:rsidRDefault="00032241" w:rsidP="00032241">
            <w:pPr>
              <w:pStyle w:val="ListParagraph"/>
              <w:rPr>
                <w:rFonts w:ascii="Century" w:hAnsi="Century"/>
              </w:rPr>
            </w:pPr>
            <w:r>
              <w:rPr>
                <w:rFonts w:ascii="Century" w:hAnsi="Century"/>
              </w:rPr>
              <w:t>42 Pa. C.S.A. Sec. 9798</w:t>
            </w:r>
          </w:p>
          <w:p w:rsidR="00032241" w:rsidRPr="00274E97" w:rsidRDefault="00032241" w:rsidP="00274E97">
            <w:pPr>
              <w:rPr>
                <w:rFonts w:ascii="Century" w:hAnsi="Century"/>
              </w:rPr>
            </w:pPr>
          </w:p>
          <w:p w:rsidR="00032241" w:rsidRDefault="00032241" w:rsidP="00032241">
            <w:pPr>
              <w:pStyle w:val="ListParagraph"/>
              <w:rPr>
                <w:rFonts w:ascii="Century" w:hAnsi="Century"/>
              </w:rPr>
            </w:pPr>
            <w:r>
              <w:rPr>
                <w:rFonts w:ascii="Century" w:hAnsi="Century"/>
              </w:rPr>
              <w:t>Title 37</w:t>
            </w:r>
          </w:p>
          <w:p w:rsidR="00032241" w:rsidRDefault="00032241" w:rsidP="00032241">
            <w:pPr>
              <w:pStyle w:val="ListParagraph"/>
              <w:rPr>
                <w:rFonts w:ascii="Century" w:hAnsi="Century"/>
              </w:rPr>
            </w:pPr>
            <w:r>
              <w:rPr>
                <w:rFonts w:ascii="Century" w:hAnsi="Century"/>
              </w:rPr>
              <w:t>Sec. 56.4</w:t>
            </w: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Pr="00274E97" w:rsidRDefault="00032241" w:rsidP="00274E97">
            <w:pPr>
              <w:rPr>
                <w:rFonts w:ascii="Century" w:hAnsi="Century"/>
              </w:rPr>
            </w:pPr>
          </w:p>
          <w:p w:rsidR="00032241" w:rsidRDefault="00032241" w:rsidP="00032241">
            <w:pPr>
              <w:pStyle w:val="ListParagraph"/>
              <w:rPr>
                <w:rFonts w:ascii="Century" w:hAnsi="Century"/>
              </w:rPr>
            </w:pPr>
            <w:r>
              <w:rPr>
                <w:rFonts w:ascii="Century" w:hAnsi="Century"/>
              </w:rPr>
              <w:t>Title 37</w:t>
            </w:r>
          </w:p>
          <w:p w:rsidR="00032241" w:rsidRDefault="00032241" w:rsidP="00032241">
            <w:pPr>
              <w:pStyle w:val="ListParagraph"/>
              <w:rPr>
                <w:rFonts w:ascii="Century" w:hAnsi="Century"/>
              </w:rPr>
            </w:pPr>
            <w:r>
              <w:rPr>
                <w:rFonts w:ascii="Century" w:hAnsi="Century"/>
              </w:rPr>
              <w:t>Sec. 56.4</w:t>
            </w: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r>
              <w:rPr>
                <w:rFonts w:ascii="Century" w:hAnsi="Century"/>
              </w:rPr>
              <w:t>Title 37</w:t>
            </w:r>
          </w:p>
          <w:p w:rsidR="00032241" w:rsidRDefault="00032241" w:rsidP="00032241">
            <w:pPr>
              <w:pStyle w:val="ListParagraph"/>
              <w:rPr>
                <w:rFonts w:ascii="Century" w:hAnsi="Century"/>
              </w:rPr>
            </w:pPr>
            <w:r>
              <w:rPr>
                <w:rFonts w:ascii="Century" w:hAnsi="Century"/>
              </w:rPr>
              <w:t>Sec. 56.4</w:t>
            </w: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Default="00032241" w:rsidP="00032241">
            <w:pPr>
              <w:pStyle w:val="ListParagraph"/>
              <w:rPr>
                <w:rFonts w:ascii="Century" w:hAnsi="Century"/>
              </w:rPr>
            </w:pPr>
          </w:p>
          <w:p w:rsidR="00032241" w:rsidRPr="00032241" w:rsidRDefault="00032241" w:rsidP="00032241">
            <w:pPr>
              <w:pStyle w:val="ListParagraph"/>
              <w:numPr>
                <w:ilvl w:val="0"/>
                <w:numId w:val="5"/>
              </w:numPr>
              <w:rPr>
                <w:rFonts w:ascii="Century" w:hAnsi="Century"/>
              </w:rPr>
            </w:pPr>
            <w:r>
              <w:rPr>
                <w:rFonts w:ascii="Century" w:hAnsi="Century"/>
              </w:rPr>
              <w:t>Guidelines</w:t>
            </w:r>
          </w:p>
        </w:tc>
        <w:tc>
          <w:tcPr>
            <w:tcW w:w="8190" w:type="dxa"/>
          </w:tcPr>
          <w:p w:rsidR="00032241" w:rsidRDefault="00032241" w:rsidP="0011234A">
            <w:pPr>
              <w:pStyle w:val="NoSpacing"/>
              <w:tabs>
                <w:tab w:val="left" w:pos="2700"/>
              </w:tabs>
              <w:spacing w:before="120" w:after="120"/>
              <w:jc w:val="center"/>
              <w:rPr>
                <w:rFonts w:ascii="Century" w:hAnsi="Century"/>
                <w:b/>
                <w:smallCaps/>
                <w:sz w:val="24"/>
              </w:rPr>
            </w:pPr>
          </w:p>
          <w:p w:rsidR="0011234A" w:rsidRPr="00151FA3" w:rsidRDefault="00151FA3" w:rsidP="0011234A">
            <w:pPr>
              <w:pStyle w:val="NoSpacing"/>
              <w:tabs>
                <w:tab w:val="left" w:pos="2700"/>
              </w:tabs>
              <w:spacing w:before="120" w:after="120"/>
              <w:jc w:val="center"/>
              <w:rPr>
                <w:rFonts w:ascii="Century" w:hAnsi="Century"/>
                <w:b/>
                <w:sz w:val="24"/>
              </w:rPr>
            </w:pPr>
            <w:r>
              <w:rPr>
                <w:rFonts w:ascii="Century" w:hAnsi="Century"/>
                <w:b/>
                <w:sz w:val="24"/>
              </w:rPr>
              <w:t xml:space="preserve">1300 </w:t>
            </w:r>
            <w:r w:rsidR="0011234A" w:rsidRPr="00151FA3">
              <w:rPr>
                <w:rFonts w:ascii="Century" w:hAnsi="Century"/>
                <w:b/>
                <w:sz w:val="24"/>
              </w:rPr>
              <w:t>Megan’s Law</w:t>
            </w:r>
          </w:p>
          <w:p w:rsidR="00550A3C" w:rsidRDefault="00550A3C" w:rsidP="00550A3C">
            <w:pPr>
              <w:rPr>
                <w:rFonts w:ascii="Century" w:hAnsi="Century"/>
                <w:sz w:val="24"/>
                <w:szCs w:val="24"/>
              </w:rPr>
            </w:pPr>
          </w:p>
          <w:p w:rsidR="0011234A" w:rsidRDefault="0011234A" w:rsidP="00550A3C">
            <w:pPr>
              <w:rPr>
                <w:rFonts w:ascii="Century" w:hAnsi="Century"/>
                <w:sz w:val="24"/>
                <w:szCs w:val="24"/>
              </w:rPr>
            </w:pPr>
            <w:r>
              <w:rPr>
                <w:rFonts w:ascii="Century" w:hAnsi="Century"/>
                <w:sz w:val="24"/>
                <w:szCs w:val="24"/>
              </w:rPr>
              <w:t>It is the policy of the Diocese of Altoona-Johnstown to protect the safety and general welfare of students and staff of the Diocese. In accordance with this policy, all employees are required to comply with the provisions of Megan’s Law and its regulations.</w:t>
            </w:r>
          </w:p>
          <w:p w:rsidR="0011234A" w:rsidRDefault="0011234A" w:rsidP="00550A3C">
            <w:pPr>
              <w:rPr>
                <w:rFonts w:ascii="Century" w:hAnsi="Century"/>
                <w:sz w:val="24"/>
                <w:szCs w:val="24"/>
              </w:rPr>
            </w:pPr>
          </w:p>
          <w:p w:rsidR="0011234A" w:rsidRDefault="0011234A" w:rsidP="00550A3C">
            <w:pPr>
              <w:rPr>
                <w:rFonts w:ascii="Century" w:hAnsi="Century"/>
                <w:sz w:val="24"/>
                <w:szCs w:val="24"/>
              </w:rPr>
            </w:pPr>
            <w:r>
              <w:rPr>
                <w:rFonts w:ascii="Century" w:hAnsi="Century"/>
                <w:sz w:val="24"/>
                <w:szCs w:val="24"/>
              </w:rPr>
              <w:t>These guidelines are intended to be in compliance with Pennsylvania’s Megan’s Law and its regulations and include informing staff of Megan’s Law communications received from local law enforcement agencies and the appropriate measures to be taken in the event of a “sexually violent predator” as identified by Megan’s Law.</w:t>
            </w:r>
          </w:p>
          <w:p w:rsidR="0011234A" w:rsidRDefault="0011234A" w:rsidP="00550A3C">
            <w:pPr>
              <w:rPr>
                <w:rFonts w:ascii="Century" w:hAnsi="Century"/>
                <w:sz w:val="24"/>
                <w:szCs w:val="24"/>
              </w:rPr>
            </w:pPr>
          </w:p>
          <w:p w:rsidR="0011234A" w:rsidRDefault="0011234A" w:rsidP="00550A3C">
            <w:pPr>
              <w:rPr>
                <w:rFonts w:ascii="Century" w:hAnsi="Century"/>
                <w:sz w:val="24"/>
                <w:szCs w:val="24"/>
              </w:rPr>
            </w:pPr>
            <w:r>
              <w:rPr>
                <w:rFonts w:ascii="Century" w:hAnsi="Century"/>
                <w:sz w:val="24"/>
                <w:szCs w:val="24"/>
              </w:rPr>
              <w:t xml:space="preserve">Upon receipt of notification from the chief law enforcement officer of the community regarding the name and residence of a sexually violent predator, </w:t>
            </w:r>
            <w:r w:rsidR="007F1389">
              <w:rPr>
                <w:rFonts w:ascii="Century" w:hAnsi="Century"/>
                <w:sz w:val="24"/>
                <w:szCs w:val="24"/>
              </w:rPr>
              <w:t xml:space="preserve">the Director of Education shall disseminate the information received </w:t>
            </w:r>
            <w:r w:rsidR="00D530A6">
              <w:rPr>
                <w:rFonts w:ascii="Century" w:hAnsi="Century"/>
                <w:sz w:val="24"/>
                <w:szCs w:val="24"/>
              </w:rPr>
              <w:t>to school administration and other designated employees</w:t>
            </w:r>
            <w:r w:rsidR="007F1389">
              <w:rPr>
                <w:rFonts w:ascii="Century" w:hAnsi="Century"/>
                <w:sz w:val="24"/>
                <w:szCs w:val="24"/>
              </w:rPr>
              <w:t>, whose duties include the supervision of responsibility for students</w:t>
            </w:r>
            <w:r w:rsidR="00D530A6">
              <w:rPr>
                <w:rFonts w:ascii="Century" w:hAnsi="Century"/>
                <w:sz w:val="24"/>
                <w:szCs w:val="24"/>
              </w:rPr>
              <w:t>.</w:t>
            </w:r>
          </w:p>
          <w:p w:rsidR="00032241" w:rsidRDefault="00032241" w:rsidP="00550A3C">
            <w:pPr>
              <w:rPr>
                <w:rFonts w:ascii="Century" w:hAnsi="Century"/>
                <w:sz w:val="24"/>
                <w:szCs w:val="24"/>
              </w:rPr>
            </w:pPr>
          </w:p>
          <w:p w:rsidR="00032241" w:rsidRDefault="00032241" w:rsidP="00550A3C">
            <w:pPr>
              <w:rPr>
                <w:rFonts w:ascii="Century" w:hAnsi="Century"/>
                <w:sz w:val="24"/>
                <w:szCs w:val="24"/>
              </w:rPr>
            </w:pPr>
            <w:r>
              <w:rPr>
                <w:rFonts w:ascii="Century" w:hAnsi="Century"/>
                <w:sz w:val="24"/>
                <w:szCs w:val="24"/>
              </w:rPr>
              <w:t xml:space="preserve">Individuals whose duties include the supervision of or responsibility for students, shall promptly notify the principal or other designated official if an identified sexually violent predator is observed in the vicinity of the school property. </w:t>
            </w:r>
          </w:p>
          <w:p w:rsidR="00032241" w:rsidRDefault="00032241" w:rsidP="00550A3C">
            <w:pPr>
              <w:rPr>
                <w:rFonts w:ascii="Century" w:hAnsi="Century"/>
                <w:sz w:val="24"/>
                <w:szCs w:val="24"/>
              </w:rPr>
            </w:pPr>
          </w:p>
          <w:p w:rsidR="00032241" w:rsidRDefault="00032241" w:rsidP="00550A3C">
            <w:pPr>
              <w:rPr>
                <w:rFonts w:ascii="Century" w:hAnsi="Century"/>
                <w:sz w:val="24"/>
                <w:szCs w:val="24"/>
              </w:rPr>
            </w:pPr>
            <w:r>
              <w:rPr>
                <w:rFonts w:ascii="Century" w:hAnsi="Century"/>
                <w:sz w:val="24"/>
                <w:szCs w:val="24"/>
              </w:rPr>
              <w:t xml:space="preserve">The principal or other designated official shall promptly notify the local law enforcement agency if the presence of a sexually violent predator appears to be without a legitimate purpose or otherwise creates a concern for the safety of the students. </w:t>
            </w:r>
          </w:p>
          <w:p w:rsidR="00032241" w:rsidRDefault="00032241" w:rsidP="00550A3C">
            <w:pPr>
              <w:rPr>
                <w:rFonts w:ascii="Century" w:hAnsi="Century"/>
                <w:sz w:val="24"/>
                <w:szCs w:val="24"/>
              </w:rPr>
            </w:pPr>
          </w:p>
          <w:p w:rsidR="00032241" w:rsidRDefault="00032241" w:rsidP="00550A3C">
            <w:pPr>
              <w:rPr>
                <w:rFonts w:ascii="Century" w:hAnsi="Century"/>
                <w:sz w:val="24"/>
                <w:szCs w:val="24"/>
              </w:rPr>
            </w:pPr>
            <w:r>
              <w:rPr>
                <w:rFonts w:ascii="Century" w:hAnsi="Century"/>
                <w:sz w:val="24"/>
                <w:szCs w:val="24"/>
              </w:rPr>
              <w:t>The principal or other designated official shall comply with any additional steps recommended by the local law enforcement agency with regard to the sexually violent predator.</w:t>
            </w:r>
          </w:p>
          <w:p w:rsidR="00032241" w:rsidRDefault="00032241" w:rsidP="00550A3C">
            <w:pPr>
              <w:rPr>
                <w:rFonts w:ascii="Century" w:hAnsi="Century"/>
                <w:sz w:val="24"/>
                <w:szCs w:val="24"/>
              </w:rPr>
            </w:pPr>
          </w:p>
          <w:p w:rsidR="00032241" w:rsidRDefault="00032241" w:rsidP="00550A3C">
            <w:pPr>
              <w:rPr>
                <w:rFonts w:ascii="Century" w:hAnsi="Century"/>
                <w:sz w:val="24"/>
                <w:szCs w:val="24"/>
              </w:rPr>
            </w:pPr>
          </w:p>
          <w:p w:rsidR="00032241" w:rsidRDefault="00032241" w:rsidP="00550A3C">
            <w:pPr>
              <w:rPr>
                <w:rFonts w:ascii="Century" w:hAnsi="Century"/>
                <w:sz w:val="24"/>
                <w:szCs w:val="24"/>
              </w:rPr>
            </w:pPr>
            <w:r>
              <w:rPr>
                <w:rFonts w:ascii="Century" w:hAnsi="Century"/>
                <w:sz w:val="24"/>
                <w:szCs w:val="24"/>
              </w:rPr>
              <w:t>Staff receiving information regarding a sexually violent predator shall not disseminate information about the pr</w:t>
            </w:r>
            <w:r w:rsidR="00D530A6">
              <w:rPr>
                <w:rFonts w:ascii="Century" w:hAnsi="Century"/>
                <w:sz w:val="24"/>
                <w:szCs w:val="24"/>
              </w:rPr>
              <w:t>edator to anyone outside the school</w:t>
            </w:r>
            <w:r>
              <w:rPr>
                <w:rFonts w:ascii="Century" w:hAnsi="Century"/>
                <w:sz w:val="24"/>
                <w:szCs w:val="24"/>
              </w:rPr>
              <w:t>. If inquiries are made to the staff, the inquiry shall be referred to the local law enforcement agency.</w:t>
            </w:r>
          </w:p>
          <w:p w:rsidR="00032241" w:rsidRDefault="00032241" w:rsidP="00550A3C">
            <w:pPr>
              <w:rPr>
                <w:rFonts w:ascii="Century" w:hAnsi="Century"/>
                <w:sz w:val="24"/>
                <w:szCs w:val="24"/>
              </w:rPr>
            </w:pPr>
          </w:p>
          <w:p w:rsidR="00032241" w:rsidRDefault="00032241" w:rsidP="00550A3C">
            <w:pPr>
              <w:rPr>
                <w:rFonts w:ascii="Century" w:hAnsi="Century"/>
                <w:sz w:val="24"/>
                <w:szCs w:val="24"/>
              </w:rPr>
            </w:pPr>
            <w:r>
              <w:rPr>
                <w:rFonts w:ascii="Century" w:hAnsi="Century"/>
                <w:sz w:val="24"/>
                <w:szCs w:val="24"/>
              </w:rPr>
              <w:t>Copies of the notification from law enforcement should be kept in a secure place accessible to teachers and staff, but should not be posted on school bulletin boards or made available to students or members of the community at large.</w:t>
            </w:r>
          </w:p>
          <w:p w:rsidR="00032241" w:rsidRDefault="00032241" w:rsidP="00550A3C">
            <w:pPr>
              <w:rPr>
                <w:rFonts w:ascii="Century" w:hAnsi="Century"/>
                <w:sz w:val="24"/>
                <w:szCs w:val="24"/>
              </w:rPr>
            </w:pPr>
          </w:p>
          <w:p w:rsidR="00032241" w:rsidRPr="009D62CD" w:rsidRDefault="009D62CD" w:rsidP="00550A3C">
            <w:pPr>
              <w:rPr>
                <w:rFonts w:ascii="Century" w:hAnsi="Century"/>
                <w:sz w:val="24"/>
                <w:szCs w:val="24"/>
              </w:rPr>
            </w:pPr>
            <w:r w:rsidRPr="00802B0A">
              <w:rPr>
                <w:rFonts w:ascii="Century" w:hAnsi="Century"/>
                <w:sz w:val="24"/>
                <w:szCs w:val="24"/>
              </w:rPr>
              <w:t xml:space="preserve">Unless restricted by the terms of their probation or parole, a parent or guardian who is a registered sexual predator may attend parent-teacher conferences or other school activities involving their child, provided they notify the principal in advance so that </w:t>
            </w:r>
            <w:r w:rsidR="00802B0A" w:rsidRPr="00802B0A">
              <w:rPr>
                <w:rFonts w:ascii="Century" w:hAnsi="Century"/>
                <w:sz w:val="24"/>
                <w:szCs w:val="24"/>
              </w:rPr>
              <w:t>proper arrangements can be made for direct supervision by a school-appointed professional.</w:t>
            </w:r>
            <w:r w:rsidRPr="00802B0A">
              <w:rPr>
                <w:rFonts w:ascii="Century" w:hAnsi="Century"/>
                <w:sz w:val="24"/>
                <w:szCs w:val="24"/>
              </w:rPr>
              <w:t xml:space="preserve"> </w:t>
            </w:r>
          </w:p>
          <w:p w:rsidR="009D62CD" w:rsidRDefault="009D62CD" w:rsidP="00550A3C">
            <w:pPr>
              <w:rPr>
                <w:rFonts w:ascii="Century" w:hAnsi="Century"/>
                <w:sz w:val="24"/>
                <w:szCs w:val="24"/>
              </w:rPr>
            </w:pPr>
          </w:p>
          <w:p w:rsidR="00032241" w:rsidRDefault="00032241" w:rsidP="00550A3C">
            <w:pPr>
              <w:rPr>
                <w:rFonts w:ascii="Century" w:hAnsi="Century"/>
                <w:sz w:val="24"/>
                <w:szCs w:val="24"/>
              </w:rPr>
            </w:pPr>
            <w:r>
              <w:rPr>
                <w:rFonts w:ascii="Century" w:hAnsi="Century"/>
                <w:sz w:val="24"/>
                <w:szCs w:val="24"/>
              </w:rPr>
              <w:t>Each principal or her/his designee will maintain a list of all chaperones and volunteers approved to supervise or work with the students in her/his building. In addition, each principal will maintain a list of all sexual predators as identified by local law enforcement. When a new chaperone or volunteers is approved or a sexual predator is identified, the principal or her/his designee must update and compare the lists. If the individual is discovered on both lists, the principal will immediately notify the Director of Education and inform the individual that s/he is not able to serve as a volunteer or chaperone for the school.</w:t>
            </w:r>
          </w:p>
          <w:p w:rsidR="00032241" w:rsidRDefault="00032241" w:rsidP="00550A3C">
            <w:pPr>
              <w:rPr>
                <w:rFonts w:ascii="Century" w:hAnsi="Century"/>
                <w:sz w:val="24"/>
                <w:szCs w:val="24"/>
              </w:rPr>
            </w:pPr>
          </w:p>
          <w:p w:rsidR="00032241" w:rsidRDefault="00032241" w:rsidP="00550A3C">
            <w:pPr>
              <w:rPr>
                <w:rFonts w:ascii="Century" w:hAnsi="Century"/>
                <w:sz w:val="24"/>
                <w:szCs w:val="24"/>
              </w:rPr>
            </w:pPr>
            <w:r>
              <w:rPr>
                <w:rFonts w:ascii="Century" w:hAnsi="Century"/>
                <w:sz w:val="24"/>
                <w:szCs w:val="24"/>
              </w:rPr>
              <w:t>References:</w:t>
            </w:r>
          </w:p>
          <w:p w:rsidR="00032241" w:rsidRDefault="00032241" w:rsidP="00550A3C">
            <w:pPr>
              <w:rPr>
                <w:rFonts w:ascii="Century" w:hAnsi="Century"/>
                <w:sz w:val="24"/>
                <w:szCs w:val="24"/>
              </w:rPr>
            </w:pPr>
            <w:r>
              <w:rPr>
                <w:rFonts w:ascii="Century" w:hAnsi="Century"/>
                <w:sz w:val="24"/>
                <w:szCs w:val="24"/>
              </w:rPr>
              <w:t>Administration of Megan’s Law – 37 PA Code Sec. 564</w:t>
            </w:r>
          </w:p>
          <w:p w:rsidR="00032241" w:rsidRPr="00550A3C" w:rsidRDefault="00032241" w:rsidP="00550A3C">
            <w:pPr>
              <w:rPr>
                <w:rFonts w:ascii="Century" w:hAnsi="Century"/>
                <w:sz w:val="24"/>
                <w:szCs w:val="24"/>
              </w:rPr>
            </w:pPr>
            <w:r>
              <w:rPr>
                <w:rFonts w:ascii="Century" w:hAnsi="Century"/>
                <w:sz w:val="24"/>
                <w:szCs w:val="24"/>
              </w:rPr>
              <w:t>Registration of Sexual Offenders – 42 Pa. C.S.A. Sec. 9791 et seq.</w:t>
            </w:r>
          </w:p>
        </w:tc>
      </w:tr>
    </w:tbl>
    <w:p w:rsidR="00643C09" w:rsidRDefault="00643C09">
      <w:bookmarkStart w:id="0" w:name="_GoBack"/>
      <w:bookmarkEnd w:id="0"/>
    </w:p>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34A" w:rsidRDefault="0011234A" w:rsidP="00274880">
      <w:pPr>
        <w:spacing w:after="0" w:line="240" w:lineRule="auto"/>
      </w:pPr>
      <w:r>
        <w:separator/>
      </w:r>
    </w:p>
  </w:endnote>
  <w:endnote w:type="continuationSeparator" w:id="0">
    <w:p w:rsidR="0011234A" w:rsidRDefault="0011234A"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1234A" w:rsidRPr="00F85A92" w:rsidRDefault="0011234A"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AD5E26">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AD5E26">
          <w:rPr>
            <w:rFonts w:ascii="Century" w:hAnsi="Century"/>
            <w:b/>
            <w:bCs/>
            <w:noProof/>
            <w:szCs w:val="20"/>
          </w:rPr>
          <w:t>2</w:t>
        </w:r>
        <w:r w:rsidRPr="00F85A92">
          <w:rPr>
            <w:rFonts w:ascii="Century" w:hAnsi="Century"/>
            <w:b/>
            <w:bCs/>
            <w:szCs w:val="20"/>
          </w:rPr>
          <w:fldChar w:fldCharType="end"/>
        </w:r>
      </w:p>
      <w:p w:rsidR="009E7472" w:rsidRDefault="009E7472" w:rsidP="009E7472">
        <w:pPr>
          <w:pStyle w:val="Footer"/>
          <w:tabs>
            <w:tab w:val="clear" w:pos="4680"/>
            <w:tab w:val="clear" w:pos="9360"/>
            <w:tab w:val="left" w:pos="7290"/>
            <w:tab w:val="right" w:pos="10800"/>
          </w:tabs>
        </w:pPr>
        <w:r>
          <w:t xml:space="preserve">Adopted: </w:t>
        </w:r>
        <w:r w:rsidR="00AD5E26">
          <w:t>7/1/2025</w:t>
        </w:r>
      </w:p>
      <w:p w:rsidR="0011234A" w:rsidRPr="009E7472" w:rsidRDefault="009E7472" w:rsidP="009E7472">
        <w:pPr>
          <w:pStyle w:val="Footer"/>
          <w:tabs>
            <w:tab w:val="clear" w:pos="4680"/>
            <w:tab w:val="clear" w:pos="9360"/>
            <w:tab w:val="left" w:pos="7290"/>
            <w:tab w:val="right" w:pos="10800"/>
          </w:tabs>
        </w:pPr>
        <w:r>
          <w:t>Revised:</w:t>
        </w:r>
        <w:r w:rsidR="0011234A" w:rsidRPr="00F85A92">
          <w:rPr>
            <w:rFonts w:ascii="Century" w:hAnsi="Century"/>
            <w:sz w:val="20"/>
            <w:szCs w:val="20"/>
          </w:rPr>
          <w:tab/>
        </w:r>
        <w:r w:rsidR="0011234A" w:rsidRPr="00F85A92">
          <w:rPr>
            <w:rFonts w:ascii="Century" w:hAnsi="Century"/>
            <w:sz w:val="20"/>
            <w:szCs w:val="20"/>
          </w:rPr>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1234A" w:rsidRPr="00F85A92" w:rsidRDefault="0011234A"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AD5E26">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AD5E26">
              <w:rPr>
                <w:rFonts w:ascii="Century" w:hAnsi="Century"/>
                <w:b/>
                <w:bCs/>
                <w:noProof/>
                <w:sz w:val="24"/>
              </w:rPr>
              <w:t>2</w:t>
            </w:r>
            <w:r w:rsidRPr="00F85A92">
              <w:rPr>
                <w:rFonts w:ascii="Century" w:hAnsi="Century"/>
                <w:b/>
                <w:bCs/>
                <w:sz w:val="28"/>
                <w:szCs w:val="24"/>
              </w:rPr>
              <w:fldChar w:fldCharType="end"/>
            </w:r>
          </w:p>
          <w:p w:rsidR="009E7472" w:rsidRDefault="009E7472" w:rsidP="009E7472">
            <w:pPr>
              <w:pStyle w:val="Footer"/>
              <w:tabs>
                <w:tab w:val="clear" w:pos="4680"/>
                <w:tab w:val="clear" w:pos="9360"/>
                <w:tab w:val="left" w:pos="7290"/>
                <w:tab w:val="right" w:pos="10800"/>
              </w:tabs>
            </w:pPr>
            <w:r>
              <w:t xml:space="preserve">Adopted: </w:t>
            </w:r>
            <w:r w:rsidR="00AD5E26">
              <w:t>7/1/2025</w:t>
            </w:r>
          </w:p>
          <w:p w:rsidR="0011234A" w:rsidRDefault="009E7472" w:rsidP="009E7472">
            <w:pPr>
              <w:pStyle w:val="Footer"/>
              <w:tabs>
                <w:tab w:val="clear" w:pos="4680"/>
                <w:tab w:val="clear" w:pos="9360"/>
                <w:tab w:val="left" w:pos="4320"/>
                <w:tab w:val="left" w:pos="7290"/>
                <w:tab w:val="right" w:pos="10800"/>
              </w:tabs>
            </w:pPr>
            <w:r>
              <w:t>Revised:</w:t>
            </w:r>
            <w:r w:rsidR="0011234A">
              <w:rPr>
                <w:rFonts w:ascii="Century" w:hAnsi="Century"/>
                <w:sz w:val="20"/>
                <w:szCs w:val="20"/>
              </w:rPr>
              <w:tab/>
            </w:r>
            <w:r w:rsidR="0011234A" w:rsidRPr="00F85A92">
              <w:rPr>
                <w:rFonts w:ascii="Century" w:hAnsi="Century"/>
                <w:sz w:val="20"/>
                <w:szCs w:val="20"/>
              </w:rPr>
              <w:tab/>
            </w:r>
            <w:r w:rsidR="0011234A">
              <w:rPr>
                <w:rFonts w:ascii="Century" w:hAnsi="Century"/>
                <w:sz w:val="20"/>
                <w:szCs w:val="20"/>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34A" w:rsidRDefault="0011234A" w:rsidP="00274880">
      <w:pPr>
        <w:spacing w:after="0" w:line="240" w:lineRule="auto"/>
      </w:pPr>
      <w:r>
        <w:separator/>
      </w:r>
    </w:p>
  </w:footnote>
  <w:footnote w:type="continuationSeparator" w:id="0">
    <w:p w:rsidR="0011234A" w:rsidRDefault="0011234A"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4A" w:rsidRPr="00F85A92" w:rsidRDefault="0011234A" w:rsidP="00F85A92">
    <w:pPr>
      <w:jc w:val="righ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4A" w:rsidRPr="002F30CF" w:rsidRDefault="0011234A" w:rsidP="009E7472">
    <w:pPr>
      <w:pStyle w:val="Header"/>
      <w:tabs>
        <w:tab w:val="clear" w:pos="9360"/>
      </w:tabs>
      <w:ind w:left="360" w:firstLine="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9264"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7472">
      <w:rPr>
        <w:rFonts w:ascii="Century" w:hAnsi="Century"/>
        <w:b/>
        <w:color w:val="1F3864"/>
        <w:sz w:val="20"/>
        <w:szCs w:val="20"/>
      </w:rPr>
      <w:t xml:space="preserve"> </w:t>
    </w:r>
    <w:r w:rsidRPr="002F30CF">
      <w:rPr>
        <w:rFonts w:ascii="Century" w:hAnsi="Century"/>
        <w:b/>
        <w:color w:val="1F3864"/>
        <w:sz w:val="40"/>
        <w:szCs w:val="44"/>
      </w:rPr>
      <w:t>Diocese of Altoona-Johnstown</w:t>
    </w:r>
  </w:p>
  <w:p w:rsidR="0011234A" w:rsidRDefault="0011234A">
    <w:pPr>
      <w:pStyle w:val="Header"/>
      <w:rPr>
        <w:rFonts w:ascii="Century" w:hAnsi="Century"/>
      </w:rPr>
    </w:pPr>
  </w:p>
  <w:p w:rsidR="0011234A" w:rsidRPr="00281D06" w:rsidRDefault="0011234A">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5078"/>
    <w:multiLevelType w:val="hybridMultilevel"/>
    <w:tmpl w:val="B8DC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18C5"/>
    <w:rsid w:val="00032241"/>
    <w:rsid w:val="000C77BB"/>
    <w:rsid w:val="0010190A"/>
    <w:rsid w:val="0011234A"/>
    <w:rsid w:val="00151FA3"/>
    <w:rsid w:val="001B1CE3"/>
    <w:rsid w:val="00274880"/>
    <w:rsid w:val="00274E97"/>
    <w:rsid w:val="00281D06"/>
    <w:rsid w:val="004133E3"/>
    <w:rsid w:val="0047201B"/>
    <w:rsid w:val="00550A3C"/>
    <w:rsid w:val="005C5F45"/>
    <w:rsid w:val="006164D9"/>
    <w:rsid w:val="00643C09"/>
    <w:rsid w:val="007F1389"/>
    <w:rsid w:val="00802B0A"/>
    <w:rsid w:val="00890368"/>
    <w:rsid w:val="008F16FF"/>
    <w:rsid w:val="00964E27"/>
    <w:rsid w:val="009D62CD"/>
    <w:rsid w:val="009E7472"/>
    <w:rsid w:val="00A41741"/>
    <w:rsid w:val="00A51528"/>
    <w:rsid w:val="00AD5E26"/>
    <w:rsid w:val="00BC12C8"/>
    <w:rsid w:val="00BC6270"/>
    <w:rsid w:val="00C505E9"/>
    <w:rsid w:val="00D36A1C"/>
    <w:rsid w:val="00D530A6"/>
    <w:rsid w:val="00DA6FA7"/>
    <w:rsid w:val="00DE35A4"/>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6DB69A7-C7AE-400D-8BC0-4D2341F9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D53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897800">
      <w:bodyDiv w:val="1"/>
      <w:marLeft w:val="0"/>
      <w:marRight w:val="0"/>
      <w:marTop w:val="0"/>
      <w:marBottom w:val="0"/>
      <w:divBdr>
        <w:top w:val="none" w:sz="0" w:space="0" w:color="auto"/>
        <w:left w:val="none" w:sz="0" w:space="0" w:color="auto"/>
        <w:bottom w:val="none" w:sz="0" w:space="0" w:color="auto"/>
        <w:right w:val="none" w:sz="0" w:space="0" w:color="auto"/>
      </w:divBdr>
    </w:div>
    <w:div w:id="21419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29050-33A0-4D97-9EA3-2D8BA213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50AFDDEB</Template>
  <TotalTime>2</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3</cp:revision>
  <cp:lastPrinted>2025-05-28T16:17:00Z</cp:lastPrinted>
  <dcterms:created xsi:type="dcterms:W3CDTF">2025-06-02T19:45:00Z</dcterms:created>
  <dcterms:modified xsi:type="dcterms:W3CDTF">2025-07-10T15:58:00Z</dcterms:modified>
</cp:coreProperties>
</file>