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707433" w:rsidRPr="00707433">
        <w:rPr>
          <w:rFonts w:ascii="Century" w:hAnsi="Century"/>
          <w:b/>
          <w:sz w:val="24"/>
        </w:rPr>
        <w:t>4042</w:t>
      </w:r>
      <w:r w:rsidR="00707433">
        <w:rPr>
          <w:rFonts w:ascii="Century" w:hAnsi="Century"/>
          <w:sz w:val="24"/>
        </w:rPr>
        <w:t xml:space="preserve"> </w:t>
      </w:r>
      <w:r w:rsidR="00301EDA" w:rsidRPr="00647E6A">
        <w:rPr>
          <w:rFonts w:ascii="Century" w:hAnsi="Century"/>
          <w:b/>
          <w:sz w:val="24"/>
        </w:rPr>
        <w:t>Continuing Education</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4C085F" w:rsidRPr="00647E6A" w:rsidRDefault="00707433" w:rsidP="004C085F">
            <w:pPr>
              <w:pStyle w:val="NoSpacing"/>
              <w:tabs>
                <w:tab w:val="left" w:pos="2700"/>
              </w:tabs>
              <w:spacing w:before="120" w:after="120"/>
              <w:jc w:val="center"/>
              <w:rPr>
                <w:rFonts w:ascii="Century" w:hAnsi="Century"/>
                <w:b/>
                <w:sz w:val="24"/>
                <w:szCs w:val="24"/>
              </w:rPr>
            </w:pPr>
            <w:r>
              <w:rPr>
                <w:rFonts w:ascii="Century" w:hAnsi="Century"/>
                <w:b/>
                <w:sz w:val="24"/>
              </w:rPr>
              <w:t xml:space="preserve">4042 </w:t>
            </w:r>
            <w:r w:rsidR="00301EDA" w:rsidRPr="00647E6A">
              <w:rPr>
                <w:rFonts w:ascii="Century" w:hAnsi="Century"/>
                <w:b/>
                <w:sz w:val="24"/>
              </w:rPr>
              <w:t>Continuing Education</w:t>
            </w:r>
          </w:p>
          <w:p w:rsidR="00032241" w:rsidRDefault="00032241" w:rsidP="00550A3C">
            <w:pPr>
              <w:rPr>
                <w:rFonts w:ascii="Century" w:hAnsi="Century"/>
                <w:sz w:val="24"/>
                <w:szCs w:val="24"/>
              </w:rPr>
            </w:pPr>
          </w:p>
          <w:p w:rsidR="00301EDA" w:rsidRDefault="00301EDA" w:rsidP="00550A3C">
            <w:pPr>
              <w:rPr>
                <w:rFonts w:ascii="Century" w:hAnsi="Century"/>
                <w:sz w:val="24"/>
                <w:szCs w:val="24"/>
              </w:rPr>
            </w:pPr>
            <w:r>
              <w:rPr>
                <w:rFonts w:ascii="Century" w:hAnsi="Century"/>
                <w:sz w:val="24"/>
                <w:szCs w:val="24"/>
              </w:rPr>
              <w:t>To provide the students entrusted to their care with a quality Catholic Education which reflects the current trends of research, professional employees should pursue their own profession growth through college courses, conferences, workshops and professional reading.</w:t>
            </w:r>
          </w:p>
          <w:p w:rsidR="00301EDA" w:rsidRPr="00647E6A" w:rsidRDefault="00301EDA" w:rsidP="00550A3C">
            <w:pPr>
              <w:rPr>
                <w:rFonts w:ascii="Century" w:hAnsi="Century"/>
                <w:b/>
                <w:sz w:val="24"/>
                <w:szCs w:val="24"/>
              </w:rPr>
            </w:pPr>
          </w:p>
          <w:p w:rsidR="00301EDA" w:rsidRPr="00647E6A" w:rsidRDefault="00301EDA" w:rsidP="00301EDA">
            <w:pPr>
              <w:jc w:val="center"/>
              <w:rPr>
                <w:rFonts w:ascii="Century" w:hAnsi="Century"/>
                <w:b/>
                <w:sz w:val="24"/>
                <w:szCs w:val="24"/>
              </w:rPr>
            </w:pPr>
            <w:r w:rsidRPr="00647E6A">
              <w:rPr>
                <w:rFonts w:ascii="Century" w:hAnsi="Century"/>
                <w:b/>
                <w:sz w:val="24"/>
                <w:szCs w:val="24"/>
              </w:rPr>
              <w:t xml:space="preserve">Diocesan </w:t>
            </w:r>
            <w:r w:rsidR="008F2C1A" w:rsidRPr="00647E6A">
              <w:rPr>
                <w:rFonts w:ascii="Century" w:hAnsi="Century"/>
                <w:b/>
                <w:sz w:val="24"/>
                <w:szCs w:val="24"/>
              </w:rPr>
              <w:t>Induction</w:t>
            </w:r>
            <w:r w:rsidRPr="00647E6A">
              <w:rPr>
                <w:rFonts w:ascii="Century" w:hAnsi="Century"/>
                <w:b/>
                <w:sz w:val="24"/>
                <w:szCs w:val="24"/>
              </w:rPr>
              <w:t xml:space="preserve"> Day</w:t>
            </w:r>
          </w:p>
          <w:p w:rsidR="00301EDA" w:rsidRDefault="00301EDA" w:rsidP="00301EDA">
            <w:pPr>
              <w:jc w:val="center"/>
              <w:rPr>
                <w:rFonts w:ascii="Century" w:hAnsi="Century"/>
                <w:sz w:val="24"/>
                <w:szCs w:val="24"/>
              </w:rPr>
            </w:pPr>
          </w:p>
          <w:p w:rsidR="00301EDA" w:rsidRDefault="00301EDA" w:rsidP="00301EDA">
            <w:pPr>
              <w:rPr>
                <w:rFonts w:ascii="Century" w:hAnsi="Century"/>
                <w:sz w:val="24"/>
                <w:szCs w:val="24"/>
              </w:rPr>
            </w:pPr>
            <w:r>
              <w:rPr>
                <w:rFonts w:ascii="Century" w:hAnsi="Century"/>
                <w:sz w:val="24"/>
                <w:szCs w:val="24"/>
              </w:rPr>
              <w:t xml:space="preserve">All elementary and secondary professional employee, religious and lay, who are new to the diocese, must participate in the Diocesan </w:t>
            </w:r>
            <w:r w:rsidR="008F2C1A">
              <w:rPr>
                <w:rFonts w:ascii="Century" w:hAnsi="Century"/>
                <w:sz w:val="24"/>
                <w:szCs w:val="24"/>
              </w:rPr>
              <w:t>Induction</w:t>
            </w:r>
            <w:r>
              <w:rPr>
                <w:rFonts w:ascii="Century" w:hAnsi="Century"/>
                <w:sz w:val="24"/>
                <w:szCs w:val="24"/>
              </w:rPr>
              <w:t xml:space="preserve"> day, scheduled annually by the Diocesan Education Office.</w:t>
            </w:r>
          </w:p>
          <w:p w:rsidR="00301EDA" w:rsidRDefault="00301EDA" w:rsidP="00301EDA">
            <w:pPr>
              <w:rPr>
                <w:rFonts w:ascii="Century" w:hAnsi="Century"/>
                <w:sz w:val="24"/>
                <w:szCs w:val="24"/>
              </w:rPr>
            </w:pPr>
          </w:p>
          <w:p w:rsidR="00301EDA" w:rsidRPr="00647E6A" w:rsidRDefault="00301EDA" w:rsidP="00301EDA">
            <w:pPr>
              <w:jc w:val="center"/>
              <w:rPr>
                <w:rFonts w:ascii="Century" w:hAnsi="Century"/>
                <w:b/>
                <w:sz w:val="24"/>
                <w:szCs w:val="24"/>
              </w:rPr>
            </w:pPr>
            <w:r w:rsidRPr="00647E6A">
              <w:rPr>
                <w:rFonts w:ascii="Century" w:hAnsi="Century"/>
                <w:b/>
                <w:sz w:val="24"/>
                <w:szCs w:val="24"/>
              </w:rPr>
              <w:t xml:space="preserve">Diocesan Teacher </w:t>
            </w:r>
            <w:proofErr w:type="spellStart"/>
            <w:r w:rsidRPr="00647E6A">
              <w:rPr>
                <w:rFonts w:ascii="Century" w:hAnsi="Century"/>
                <w:b/>
                <w:sz w:val="24"/>
                <w:szCs w:val="24"/>
              </w:rPr>
              <w:t>Inservice</w:t>
            </w:r>
            <w:proofErr w:type="spellEnd"/>
          </w:p>
          <w:p w:rsidR="00301EDA" w:rsidRDefault="00301EDA" w:rsidP="00301EDA">
            <w:pPr>
              <w:jc w:val="center"/>
              <w:rPr>
                <w:rFonts w:ascii="Century" w:hAnsi="Century"/>
                <w:sz w:val="24"/>
                <w:szCs w:val="24"/>
              </w:rPr>
            </w:pPr>
          </w:p>
          <w:p w:rsidR="00301EDA" w:rsidRDefault="00301EDA" w:rsidP="00301EDA">
            <w:pPr>
              <w:rPr>
                <w:rFonts w:ascii="Century" w:hAnsi="Century"/>
                <w:sz w:val="24"/>
                <w:szCs w:val="24"/>
              </w:rPr>
            </w:pPr>
            <w:r>
              <w:rPr>
                <w:rFonts w:ascii="Century" w:hAnsi="Century"/>
                <w:sz w:val="24"/>
                <w:szCs w:val="24"/>
              </w:rPr>
              <w:t xml:space="preserve">The annual Diocesan Teacher </w:t>
            </w:r>
            <w:proofErr w:type="spellStart"/>
            <w:r>
              <w:rPr>
                <w:rFonts w:ascii="Century" w:hAnsi="Century"/>
                <w:sz w:val="24"/>
                <w:szCs w:val="24"/>
              </w:rPr>
              <w:t>Inservice</w:t>
            </w:r>
            <w:proofErr w:type="spellEnd"/>
            <w:r>
              <w:rPr>
                <w:rFonts w:ascii="Century" w:hAnsi="Century"/>
                <w:sz w:val="24"/>
                <w:szCs w:val="24"/>
              </w:rPr>
              <w:t xml:space="preserve"> is consider a regular contract day. All full time professional employees</w:t>
            </w:r>
            <w:r w:rsidR="008F2C1A">
              <w:rPr>
                <w:rFonts w:ascii="Century" w:hAnsi="Century"/>
                <w:sz w:val="24"/>
                <w:szCs w:val="24"/>
              </w:rPr>
              <w:t>, both elementary and secondary,</w:t>
            </w:r>
            <w:r>
              <w:rPr>
                <w:rFonts w:ascii="Century" w:hAnsi="Century"/>
                <w:sz w:val="24"/>
                <w:szCs w:val="24"/>
              </w:rPr>
              <w:t xml:space="preserve"> are required to participate in this gathering.</w:t>
            </w:r>
          </w:p>
          <w:p w:rsidR="00301EDA" w:rsidRDefault="00301EDA" w:rsidP="00301EDA">
            <w:pPr>
              <w:rPr>
                <w:rFonts w:ascii="Century" w:hAnsi="Century"/>
                <w:sz w:val="24"/>
                <w:szCs w:val="24"/>
              </w:rPr>
            </w:pPr>
          </w:p>
          <w:p w:rsidR="00301EDA" w:rsidRPr="00647E6A" w:rsidRDefault="0007646F" w:rsidP="0007646F">
            <w:pPr>
              <w:jc w:val="center"/>
              <w:rPr>
                <w:rFonts w:ascii="Century" w:hAnsi="Century"/>
                <w:b/>
                <w:sz w:val="24"/>
                <w:szCs w:val="24"/>
              </w:rPr>
            </w:pPr>
            <w:r w:rsidRPr="00647E6A">
              <w:rPr>
                <w:rFonts w:ascii="Century" w:hAnsi="Century"/>
                <w:b/>
                <w:sz w:val="24"/>
                <w:szCs w:val="24"/>
              </w:rPr>
              <w:t>Staff Development</w:t>
            </w:r>
          </w:p>
          <w:p w:rsidR="0007646F" w:rsidRPr="00647E6A" w:rsidRDefault="0007646F" w:rsidP="0007646F">
            <w:pPr>
              <w:jc w:val="center"/>
              <w:rPr>
                <w:rFonts w:ascii="Century" w:hAnsi="Century"/>
                <w:b/>
                <w:sz w:val="24"/>
                <w:szCs w:val="24"/>
              </w:rPr>
            </w:pPr>
          </w:p>
          <w:p w:rsidR="0007646F" w:rsidRDefault="0007646F" w:rsidP="00CE766C">
            <w:pPr>
              <w:rPr>
                <w:rFonts w:ascii="Century" w:hAnsi="Century"/>
                <w:sz w:val="24"/>
                <w:szCs w:val="24"/>
              </w:rPr>
            </w:pPr>
            <w:r>
              <w:rPr>
                <w:rFonts w:ascii="Century" w:hAnsi="Century"/>
                <w:sz w:val="24"/>
                <w:szCs w:val="24"/>
              </w:rPr>
              <w:t>As educators committed to on-going professional development, all professional employees are required to participate in the staff development programs outlined by the diocese and by their local school. The current program may be modified annually to meet evolving st</w:t>
            </w:r>
            <w:r w:rsidR="00CE766C">
              <w:rPr>
                <w:rFonts w:ascii="Century" w:hAnsi="Century"/>
                <w:sz w:val="24"/>
                <w:szCs w:val="24"/>
              </w:rPr>
              <w:t>ate and professional standards.</w:t>
            </w:r>
          </w:p>
          <w:p w:rsidR="00CE766C" w:rsidRDefault="00CE766C" w:rsidP="00CE766C">
            <w:pPr>
              <w:rPr>
                <w:rFonts w:ascii="Century" w:hAnsi="Century"/>
                <w:sz w:val="24"/>
                <w:szCs w:val="24"/>
              </w:rPr>
            </w:pPr>
          </w:p>
          <w:p w:rsidR="0007646F" w:rsidRDefault="0007646F" w:rsidP="0007646F">
            <w:pPr>
              <w:rPr>
                <w:rFonts w:ascii="Century" w:hAnsi="Century"/>
                <w:sz w:val="24"/>
                <w:szCs w:val="24"/>
              </w:rPr>
            </w:pPr>
            <w:r>
              <w:rPr>
                <w:rFonts w:ascii="Century" w:hAnsi="Century"/>
                <w:sz w:val="24"/>
                <w:szCs w:val="24"/>
              </w:rPr>
              <w:t xml:space="preserve">In order to provide for an excellent quality of education a minimum of </w:t>
            </w:r>
            <w:r>
              <w:rPr>
                <w:rFonts w:ascii="Century" w:hAnsi="Century"/>
                <w:sz w:val="24"/>
                <w:szCs w:val="24"/>
                <w:u w:val="single"/>
              </w:rPr>
              <w:t>15 hours</w:t>
            </w:r>
            <w:r>
              <w:rPr>
                <w:rFonts w:ascii="Century" w:hAnsi="Century"/>
                <w:sz w:val="24"/>
                <w:szCs w:val="24"/>
              </w:rPr>
              <w:t xml:space="preserve"> of Staff Development for the entire faculty </w:t>
            </w:r>
            <w:r>
              <w:rPr>
                <w:rFonts w:ascii="Century" w:hAnsi="Century"/>
                <w:sz w:val="24"/>
                <w:szCs w:val="24"/>
                <w:u w:val="single"/>
              </w:rPr>
              <w:t>are required of each school</w:t>
            </w:r>
            <w:r>
              <w:rPr>
                <w:rFonts w:ascii="Century" w:hAnsi="Century"/>
                <w:sz w:val="24"/>
                <w:szCs w:val="24"/>
              </w:rPr>
              <w:t xml:space="preserve">. It has been widely recognized that staff development is intimately related to successful improvement and innovation. Staff Development is any set of activities or processes intended to improve skills, attitudes, understanding or performance in present or future roles. This development should </w:t>
            </w:r>
            <w:r>
              <w:rPr>
                <w:rFonts w:ascii="Century" w:hAnsi="Century"/>
                <w:b/>
                <w:sz w:val="24"/>
                <w:szCs w:val="24"/>
              </w:rPr>
              <w:t xml:space="preserve">update teachers and principals </w:t>
            </w:r>
            <w:r>
              <w:rPr>
                <w:rFonts w:ascii="Century" w:hAnsi="Century"/>
                <w:sz w:val="24"/>
                <w:szCs w:val="24"/>
              </w:rPr>
              <w:t xml:space="preserve">in contemporary trends in all subject areas. Staff development should also train, plan, monitor and asses the process of </w:t>
            </w:r>
            <w:r>
              <w:rPr>
                <w:rFonts w:ascii="Century" w:hAnsi="Century"/>
                <w:b/>
                <w:sz w:val="24"/>
                <w:szCs w:val="24"/>
              </w:rPr>
              <w:t xml:space="preserve">school wide innovations and improvements. </w:t>
            </w:r>
          </w:p>
          <w:p w:rsidR="003F5F4E" w:rsidRDefault="003F5F4E" w:rsidP="0007646F">
            <w:pPr>
              <w:rPr>
                <w:rFonts w:ascii="Century" w:hAnsi="Century"/>
                <w:sz w:val="24"/>
                <w:szCs w:val="24"/>
              </w:rPr>
            </w:pPr>
          </w:p>
          <w:p w:rsidR="003F5F4E" w:rsidRDefault="003F5F4E" w:rsidP="0007646F">
            <w:pPr>
              <w:rPr>
                <w:rFonts w:ascii="Century" w:hAnsi="Century"/>
                <w:sz w:val="24"/>
                <w:szCs w:val="24"/>
              </w:rPr>
            </w:pPr>
            <w:r>
              <w:rPr>
                <w:rFonts w:ascii="Century" w:hAnsi="Century"/>
                <w:sz w:val="24"/>
                <w:szCs w:val="24"/>
              </w:rPr>
              <w:t xml:space="preserve">In order to provide this time, as well as the required experiences listed below, it is necessary to schedule a </w:t>
            </w:r>
            <w:r>
              <w:rPr>
                <w:rFonts w:ascii="Century" w:hAnsi="Century"/>
                <w:b/>
                <w:sz w:val="24"/>
                <w:szCs w:val="24"/>
              </w:rPr>
              <w:t xml:space="preserve">minimum </w:t>
            </w:r>
            <w:r w:rsidR="008F2C1A">
              <w:rPr>
                <w:rFonts w:ascii="Century" w:hAnsi="Century"/>
                <w:sz w:val="24"/>
                <w:szCs w:val="24"/>
              </w:rPr>
              <w:t>of five (5</w:t>
            </w:r>
            <w:r>
              <w:rPr>
                <w:rFonts w:ascii="Century" w:hAnsi="Century"/>
                <w:sz w:val="24"/>
                <w:szCs w:val="24"/>
              </w:rPr>
              <w:t xml:space="preserve">) teacher days in addition to student days and exclusive of snow and Flexible Instruction Days. Therefore, </w:t>
            </w:r>
            <w:r>
              <w:rPr>
                <w:rFonts w:ascii="Century" w:hAnsi="Century"/>
                <w:b/>
                <w:sz w:val="24"/>
                <w:szCs w:val="24"/>
              </w:rPr>
              <w:t xml:space="preserve">all schools will schedule </w:t>
            </w:r>
            <w:r w:rsidR="008F2C1A">
              <w:rPr>
                <w:rFonts w:ascii="Century" w:hAnsi="Century"/>
                <w:b/>
                <w:sz w:val="24"/>
                <w:szCs w:val="24"/>
              </w:rPr>
              <w:t>a minimum of 185</w:t>
            </w:r>
            <w:r>
              <w:rPr>
                <w:rFonts w:ascii="Century" w:hAnsi="Century"/>
                <w:b/>
                <w:sz w:val="24"/>
                <w:szCs w:val="24"/>
              </w:rPr>
              <w:t xml:space="preserve"> teacher days. </w:t>
            </w:r>
          </w:p>
          <w:p w:rsidR="003F5F4E" w:rsidRDefault="003F5F4E" w:rsidP="0007646F">
            <w:pPr>
              <w:rPr>
                <w:rFonts w:ascii="Century" w:hAnsi="Century"/>
                <w:sz w:val="24"/>
                <w:szCs w:val="24"/>
              </w:rPr>
            </w:pPr>
          </w:p>
          <w:p w:rsidR="003F5F4E" w:rsidRDefault="003F5F4E" w:rsidP="0007646F">
            <w:pPr>
              <w:rPr>
                <w:rFonts w:ascii="Century" w:hAnsi="Century"/>
                <w:b/>
                <w:sz w:val="24"/>
                <w:szCs w:val="24"/>
              </w:rPr>
            </w:pPr>
            <w:r>
              <w:rPr>
                <w:rFonts w:ascii="Century" w:hAnsi="Century"/>
                <w:b/>
                <w:sz w:val="24"/>
                <w:szCs w:val="24"/>
              </w:rPr>
              <w:t>Requirements: a minimum of 15 hours</w:t>
            </w:r>
            <w:r w:rsidR="00CE766C">
              <w:rPr>
                <w:rFonts w:ascii="Century" w:hAnsi="Century"/>
                <w:b/>
                <w:sz w:val="24"/>
                <w:szCs w:val="24"/>
              </w:rPr>
              <w:t xml:space="preserve"> of staff development for the entire faculty in addition to:</w:t>
            </w:r>
          </w:p>
          <w:p w:rsidR="00CE766C" w:rsidRDefault="00CE766C" w:rsidP="0007646F">
            <w:pPr>
              <w:rPr>
                <w:rFonts w:ascii="Century" w:hAnsi="Century"/>
                <w:b/>
                <w:sz w:val="24"/>
                <w:szCs w:val="24"/>
              </w:rPr>
            </w:pPr>
          </w:p>
          <w:p w:rsidR="00CE766C" w:rsidRDefault="008F2C1A" w:rsidP="0007646F">
            <w:pPr>
              <w:rPr>
                <w:rFonts w:ascii="Century" w:hAnsi="Century"/>
                <w:b/>
                <w:sz w:val="24"/>
                <w:szCs w:val="24"/>
              </w:rPr>
            </w:pPr>
            <w:r>
              <w:rPr>
                <w:rFonts w:ascii="Century" w:hAnsi="Century"/>
                <w:b/>
                <w:sz w:val="24"/>
                <w:szCs w:val="24"/>
              </w:rPr>
              <w:t>Induction</w:t>
            </w:r>
          </w:p>
          <w:p w:rsidR="00CE766C" w:rsidRDefault="00CE766C" w:rsidP="0007646F">
            <w:pPr>
              <w:rPr>
                <w:rFonts w:ascii="Century" w:hAnsi="Century"/>
                <w:b/>
                <w:sz w:val="24"/>
                <w:szCs w:val="24"/>
              </w:rPr>
            </w:pPr>
            <w:r>
              <w:rPr>
                <w:rFonts w:ascii="Century" w:hAnsi="Century"/>
                <w:b/>
                <w:sz w:val="24"/>
                <w:szCs w:val="24"/>
              </w:rPr>
              <w:t>Faculty Retreat Day</w:t>
            </w:r>
          </w:p>
          <w:p w:rsidR="00CE766C" w:rsidRDefault="00CE766C" w:rsidP="0007646F">
            <w:pPr>
              <w:rPr>
                <w:rFonts w:ascii="Century" w:hAnsi="Century"/>
                <w:b/>
                <w:sz w:val="24"/>
                <w:szCs w:val="24"/>
              </w:rPr>
            </w:pPr>
            <w:r>
              <w:rPr>
                <w:rFonts w:ascii="Century" w:hAnsi="Century"/>
                <w:b/>
                <w:sz w:val="24"/>
                <w:szCs w:val="24"/>
              </w:rPr>
              <w:t xml:space="preserve">Diocesan Teacher </w:t>
            </w:r>
            <w:proofErr w:type="spellStart"/>
            <w:r>
              <w:rPr>
                <w:rFonts w:ascii="Century" w:hAnsi="Century"/>
                <w:b/>
                <w:sz w:val="24"/>
                <w:szCs w:val="24"/>
              </w:rPr>
              <w:t>Inservice</w:t>
            </w:r>
            <w:proofErr w:type="spellEnd"/>
          </w:p>
          <w:p w:rsidR="00CE766C" w:rsidRDefault="00CE766C" w:rsidP="0007646F">
            <w:pPr>
              <w:rPr>
                <w:rFonts w:ascii="Century" w:hAnsi="Century"/>
                <w:b/>
                <w:sz w:val="24"/>
                <w:szCs w:val="24"/>
              </w:rPr>
            </w:pPr>
            <w:r>
              <w:rPr>
                <w:rFonts w:ascii="Century" w:hAnsi="Century"/>
                <w:b/>
                <w:sz w:val="24"/>
                <w:szCs w:val="24"/>
              </w:rPr>
              <w:t xml:space="preserve">Diocesan Elementary </w:t>
            </w:r>
            <w:proofErr w:type="spellStart"/>
            <w:r>
              <w:rPr>
                <w:rFonts w:ascii="Century" w:hAnsi="Century"/>
                <w:b/>
                <w:sz w:val="24"/>
                <w:szCs w:val="24"/>
              </w:rPr>
              <w:t>Inservice</w:t>
            </w:r>
            <w:proofErr w:type="spellEnd"/>
          </w:p>
          <w:p w:rsidR="00CE766C" w:rsidRDefault="00CE766C" w:rsidP="0007646F">
            <w:pPr>
              <w:rPr>
                <w:rFonts w:ascii="Century" w:hAnsi="Century"/>
                <w:b/>
                <w:sz w:val="24"/>
                <w:szCs w:val="24"/>
              </w:rPr>
            </w:pPr>
            <w:r>
              <w:rPr>
                <w:rFonts w:ascii="Century" w:hAnsi="Century"/>
                <w:b/>
                <w:sz w:val="24"/>
                <w:szCs w:val="24"/>
              </w:rPr>
              <w:t>Diocesan Educational/Safety Conference</w:t>
            </w:r>
          </w:p>
          <w:p w:rsidR="00CE766C" w:rsidRDefault="00CE766C" w:rsidP="0007646F">
            <w:pPr>
              <w:rPr>
                <w:rFonts w:ascii="Century" w:hAnsi="Century"/>
                <w:b/>
                <w:sz w:val="24"/>
                <w:szCs w:val="24"/>
              </w:rPr>
            </w:pPr>
            <w:r>
              <w:rPr>
                <w:rFonts w:ascii="Century" w:hAnsi="Century"/>
                <w:b/>
                <w:sz w:val="24"/>
                <w:szCs w:val="24"/>
              </w:rPr>
              <w:t>Faculty Meetings</w:t>
            </w:r>
          </w:p>
          <w:p w:rsidR="00CE766C" w:rsidRDefault="00CE766C" w:rsidP="0007646F">
            <w:pPr>
              <w:rPr>
                <w:rFonts w:ascii="Century" w:hAnsi="Century"/>
                <w:b/>
                <w:sz w:val="24"/>
                <w:szCs w:val="24"/>
              </w:rPr>
            </w:pPr>
          </w:p>
          <w:p w:rsidR="00CE766C" w:rsidRDefault="00CE766C" w:rsidP="0007646F">
            <w:pPr>
              <w:rPr>
                <w:rFonts w:ascii="Century" w:hAnsi="Century"/>
                <w:sz w:val="24"/>
                <w:szCs w:val="24"/>
              </w:rPr>
            </w:pPr>
            <w:r>
              <w:rPr>
                <w:rFonts w:ascii="Century" w:hAnsi="Century"/>
                <w:sz w:val="24"/>
                <w:szCs w:val="24"/>
              </w:rPr>
              <w:t xml:space="preserve">The 15 hours (minimum) may consist of: </w:t>
            </w:r>
          </w:p>
          <w:p w:rsidR="00CE766C" w:rsidRDefault="00CE766C" w:rsidP="00CE766C">
            <w:pPr>
              <w:pStyle w:val="ListParagraph"/>
              <w:numPr>
                <w:ilvl w:val="0"/>
                <w:numId w:val="6"/>
              </w:numPr>
              <w:rPr>
                <w:rFonts w:ascii="Century" w:hAnsi="Century"/>
                <w:sz w:val="24"/>
                <w:szCs w:val="24"/>
              </w:rPr>
            </w:pPr>
            <w:r>
              <w:rPr>
                <w:rFonts w:ascii="Century" w:hAnsi="Century"/>
                <w:sz w:val="24"/>
                <w:szCs w:val="24"/>
              </w:rPr>
              <w:t>Professional instructors/Consultants</w:t>
            </w:r>
          </w:p>
          <w:p w:rsidR="00CE766C" w:rsidRDefault="00CE766C" w:rsidP="00CE766C">
            <w:pPr>
              <w:pStyle w:val="ListParagraph"/>
              <w:numPr>
                <w:ilvl w:val="0"/>
                <w:numId w:val="6"/>
              </w:numPr>
              <w:rPr>
                <w:rFonts w:ascii="Century" w:hAnsi="Century"/>
                <w:sz w:val="24"/>
                <w:szCs w:val="24"/>
              </w:rPr>
            </w:pPr>
            <w:r>
              <w:rPr>
                <w:rFonts w:ascii="Century" w:hAnsi="Century"/>
                <w:sz w:val="24"/>
                <w:szCs w:val="24"/>
              </w:rPr>
              <w:t>Use of professional video programs</w:t>
            </w:r>
          </w:p>
          <w:p w:rsidR="00CE766C" w:rsidRDefault="00CE766C" w:rsidP="00CE766C">
            <w:pPr>
              <w:pStyle w:val="ListParagraph"/>
              <w:numPr>
                <w:ilvl w:val="0"/>
                <w:numId w:val="6"/>
              </w:numPr>
              <w:rPr>
                <w:rFonts w:ascii="Century" w:hAnsi="Century"/>
                <w:sz w:val="24"/>
                <w:szCs w:val="24"/>
              </w:rPr>
            </w:pPr>
            <w:r>
              <w:rPr>
                <w:rFonts w:ascii="Century" w:hAnsi="Century"/>
                <w:sz w:val="24"/>
                <w:szCs w:val="24"/>
              </w:rPr>
              <w:t>Instruction by a competent local source.</w:t>
            </w:r>
          </w:p>
          <w:p w:rsidR="00CE766C" w:rsidRDefault="00CE766C" w:rsidP="00CE766C">
            <w:pPr>
              <w:rPr>
                <w:rFonts w:ascii="Century" w:hAnsi="Century"/>
                <w:sz w:val="24"/>
                <w:szCs w:val="24"/>
              </w:rPr>
            </w:pPr>
          </w:p>
          <w:p w:rsidR="00CE766C" w:rsidRDefault="00CE766C" w:rsidP="00CE766C">
            <w:pPr>
              <w:rPr>
                <w:rFonts w:ascii="Century" w:hAnsi="Century"/>
                <w:sz w:val="24"/>
                <w:szCs w:val="24"/>
              </w:rPr>
            </w:pPr>
            <w:r>
              <w:rPr>
                <w:rFonts w:ascii="Century" w:hAnsi="Century"/>
                <w:sz w:val="24"/>
                <w:szCs w:val="24"/>
              </w:rPr>
              <w:t>It may not include:</w:t>
            </w:r>
          </w:p>
          <w:p w:rsidR="00CE766C" w:rsidRDefault="00CE766C" w:rsidP="00CE766C">
            <w:pPr>
              <w:pStyle w:val="ListParagraph"/>
              <w:numPr>
                <w:ilvl w:val="0"/>
                <w:numId w:val="7"/>
              </w:numPr>
              <w:rPr>
                <w:rFonts w:ascii="Century" w:hAnsi="Century"/>
                <w:sz w:val="24"/>
                <w:szCs w:val="24"/>
              </w:rPr>
            </w:pPr>
            <w:r>
              <w:rPr>
                <w:rFonts w:ascii="Century" w:hAnsi="Century"/>
                <w:sz w:val="24"/>
                <w:szCs w:val="24"/>
              </w:rPr>
              <w:t>Clerical work, classroom decoration</w:t>
            </w:r>
          </w:p>
          <w:p w:rsidR="00CE766C" w:rsidRDefault="00CE766C" w:rsidP="00CE766C">
            <w:pPr>
              <w:pStyle w:val="ListParagraph"/>
              <w:numPr>
                <w:ilvl w:val="0"/>
                <w:numId w:val="7"/>
              </w:numPr>
              <w:rPr>
                <w:rFonts w:ascii="Century" w:hAnsi="Century"/>
                <w:sz w:val="24"/>
                <w:szCs w:val="24"/>
              </w:rPr>
            </w:pPr>
            <w:r>
              <w:rPr>
                <w:rFonts w:ascii="Century" w:hAnsi="Century"/>
                <w:sz w:val="24"/>
                <w:szCs w:val="24"/>
              </w:rPr>
              <w:t>Parent Conference</w:t>
            </w:r>
          </w:p>
          <w:p w:rsidR="00CE766C" w:rsidRDefault="00CE766C" w:rsidP="00CE766C">
            <w:pPr>
              <w:pStyle w:val="ListParagraph"/>
              <w:numPr>
                <w:ilvl w:val="0"/>
                <w:numId w:val="7"/>
              </w:numPr>
              <w:rPr>
                <w:rFonts w:ascii="Century" w:hAnsi="Century"/>
                <w:sz w:val="24"/>
                <w:szCs w:val="24"/>
              </w:rPr>
            </w:pPr>
            <w:r>
              <w:rPr>
                <w:rFonts w:ascii="Century" w:hAnsi="Century"/>
                <w:sz w:val="24"/>
                <w:szCs w:val="24"/>
              </w:rPr>
              <w:t>Faculty social events, luncheons, celebrations</w:t>
            </w:r>
          </w:p>
          <w:p w:rsidR="00CE766C" w:rsidRDefault="00CE766C" w:rsidP="00CE766C">
            <w:pPr>
              <w:rPr>
                <w:rFonts w:ascii="Century" w:hAnsi="Century"/>
                <w:sz w:val="24"/>
                <w:szCs w:val="24"/>
              </w:rPr>
            </w:pPr>
          </w:p>
          <w:p w:rsidR="00CE766C" w:rsidRDefault="004749A0" w:rsidP="00CE766C">
            <w:pPr>
              <w:rPr>
                <w:rFonts w:ascii="Century" w:hAnsi="Century"/>
                <w:sz w:val="24"/>
                <w:szCs w:val="24"/>
              </w:rPr>
            </w:pPr>
            <w:r>
              <w:rPr>
                <w:rFonts w:ascii="Century" w:hAnsi="Century"/>
                <w:sz w:val="24"/>
                <w:szCs w:val="24"/>
              </w:rPr>
              <w:t>Individual teachers are expected to engage in personal professional development. The plan for each teacher should be discussed during evaluations and contract renewal. This personal professional de</w:t>
            </w:r>
            <w:bookmarkStart w:id="0" w:name="_GoBack"/>
            <w:bookmarkEnd w:id="0"/>
            <w:r>
              <w:rPr>
                <w:rFonts w:ascii="Century" w:hAnsi="Century"/>
                <w:sz w:val="24"/>
                <w:szCs w:val="24"/>
              </w:rPr>
              <w:t>velopment can be part of the 15 hours required with approval of the principal and proof provided. Each teacher is expected to participate in professional development annually. Teacher who have not yet achieved Instructional II will pursue this certification with the time f</w:t>
            </w:r>
            <w:r w:rsidR="008F2C1A">
              <w:rPr>
                <w:rFonts w:ascii="Century" w:hAnsi="Century"/>
                <w:sz w:val="24"/>
                <w:szCs w:val="24"/>
              </w:rPr>
              <w:t>rame required by the Commonwealth of Pennsylvania.</w:t>
            </w:r>
          </w:p>
          <w:p w:rsidR="008F2C1A" w:rsidRDefault="008F2C1A" w:rsidP="00CE766C">
            <w:pPr>
              <w:rPr>
                <w:rFonts w:ascii="Century" w:hAnsi="Century"/>
                <w:sz w:val="24"/>
                <w:szCs w:val="24"/>
              </w:rPr>
            </w:pPr>
          </w:p>
          <w:p w:rsidR="008F2C1A" w:rsidRPr="00647E6A" w:rsidRDefault="008F2C1A" w:rsidP="00CE766C">
            <w:pPr>
              <w:rPr>
                <w:rFonts w:ascii="Century" w:hAnsi="Century"/>
                <w:b/>
                <w:sz w:val="24"/>
                <w:szCs w:val="24"/>
              </w:rPr>
            </w:pPr>
            <w:r w:rsidRPr="00647E6A">
              <w:rPr>
                <w:rFonts w:ascii="Century" w:hAnsi="Century"/>
                <w:b/>
                <w:sz w:val="24"/>
                <w:szCs w:val="24"/>
              </w:rPr>
              <w:t xml:space="preserve">Reminder: The Pennsylvania Department of Education requires 180 credit hours every five years to maintain certification. </w:t>
            </w: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66C" w:rsidRDefault="00CE766C" w:rsidP="00274880">
      <w:pPr>
        <w:spacing w:after="0" w:line="240" w:lineRule="auto"/>
      </w:pPr>
      <w:r>
        <w:separator/>
      </w:r>
    </w:p>
  </w:endnote>
  <w:endnote w:type="continuationSeparator" w:id="0">
    <w:p w:rsidR="00CE766C" w:rsidRDefault="00CE766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647E6A" w:rsidRDefault="00647E6A" w:rsidP="00647E6A">
        <w:pPr>
          <w:pStyle w:val="Footer"/>
          <w:tabs>
            <w:tab w:val="clear" w:pos="4680"/>
            <w:tab w:val="clear" w:pos="9360"/>
            <w:tab w:val="left" w:pos="7290"/>
            <w:tab w:val="right" w:pos="10800"/>
          </w:tabs>
        </w:pPr>
        <w:r>
          <w:t xml:space="preserve">Adopted: </w:t>
        </w:r>
        <w:r w:rsidR="00D50991">
          <w:t>7/1/2025</w:t>
        </w:r>
      </w:p>
      <w:p w:rsidR="00CE766C" w:rsidRPr="00647E6A" w:rsidRDefault="00647E6A" w:rsidP="00647E6A">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CE766C" w:rsidRPr="00F85A92" w:rsidRDefault="00CE766C"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50991">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50991">
              <w:rPr>
                <w:rFonts w:ascii="Century" w:hAnsi="Century"/>
                <w:b/>
                <w:bCs/>
                <w:noProof/>
                <w:sz w:val="24"/>
              </w:rPr>
              <w:t>2</w:t>
            </w:r>
            <w:r w:rsidRPr="00F85A92">
              <w:rPr>
                <w:rFonts w:ascii="Century" w:hAnsi="Century"/>
                <w:b/>
                <w:bCs/>
                <w:sz w:val="28"/>
                <w:szCs w:val="24"/>
              </w:rPr>
              <w:fldChar w:fldCharType="end"/>
            </w:r>
          </w:p>
          <w:p w:rsidR="00CE766C" w:rsidRDefault="00CE766C"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CE766C" w:rsidRDefault="00CE766C" w:rsidP="004C085F">
    <w:pPr>
      <w:pStyle w:val="Footer"/>
      <w:tabs>
        <w:tab w:val="clear" w:pos="4680"/>
        <w:tab w:val="clear" w:pos="9360"/>
        <w:tab w:val="left" w:pos="7290"/>
        <w:tab w:val="right" w:pos="10800"/>
      </w:tabs>
    </w:pPr>
    <w:r>
      <w:t xml:space="preserve">Adopted: </w:t>
    </w:r>
    <w:r w:rsidR="00D50991">
      <w:t>7/1/2025</w:t>
    </w:r>
  </w:p>
  <w:p w:rsidR="00CE766C" w:rsidRDefault="00CE766C"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66C" w:rsidRDefault="00CE766C" w:rsidP="00274880">
      <w:pPr>
        <w:spacing w:after="0" w:line="240" w:lineRule="auto"/>
      </w:pPr>
      <w:r>
        <w:separator/>
      </w:r>
    </w:p>
  </w:footnote>
  <w:footnote w:type="continuationSeparator" w:id="0">
    <w:p w:rsidR="00CE766C" w:rsidRDefault="00CE766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C" w:rsidRPr="00F85A92" w:rsidRDefault="00CE766C"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C" w:rsidRPr="004133E3" w:rsidRDefault="00CE766C" w:rsidP="004C085F">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p>
  <w:p w:rsidR="00CE766C" w:rsidRPr="002F30CF" w:rsidRDefault="00CE766C" w:rsidP="004C085F">
    <w:pPr>
      <w:pStyle w:val="Header"/>
      <w:ind w:left="360"/>
      <w:jc w:val="center"/>
      <w:rPr>
        <w:rFonts w:ascii="Century" w:hAnsi="Century"/>
        <w:b/>
        <w:color w:val="1F3864"/>
        <w:sz w:val="40"/>
        <w:szCs w:val="44"/>
      </w:rPr>
    </w:pPr>
    <w:r w:rsidRPr="002F30CF">
      <w:rPr>
        <w:rFonts w:ascii="Century" w:hAnsi="Century"/>
        <w:b/>
        <w:color w:val="1F3864"/>
        <w:sz w:val="40"/>
        <w:szCs w:val="44"/>
      </w:rPr>
      <w:t>Diocese of Altoona-Johnstown</w:t>
    </w:r>
  </w:p>
  <w:p w:rsidR="00CE766C" w:rsidRDefault="00CE766C">
    <w:pPr>
      <w:pStyle w:val="Header"/>
      <w:rPr>
        <w:rFonts w:ascii="Century" w:hAnsi="Century"/>
      </w:rPr>
    </w:pPr>
  </w:p>
  <w:p w:rsidR="00CE766C" w:rsidRPr="00281D06" w:rsidRDefault="00CE766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0097"/>
    <w:multiLevelType w:val="hybridMultilevel"/>
    <w:tmpl w:val="9AE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83227"/>
    <w:multiLevelType w:val="hybridMultilevel"/>
    <w:tmpl w:val="9BBA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7646F"/>
    <w:rsid w:val="00085F7D"/>
    <w:rsid w:val="000C77BB"/>
    <w:rsid w:val="0010190A"/>
    <w:rsid w:val="0011234A"/>
    <w:rsid w:val="001B1CE3"/>
    <w:rsid w:val="00274880"/>
    <w:rsid w:val="00281D06"/>
    <w:rsid w:val="00301EDA"/>
    <w:rsid w:val="003F5F4E"/>
    <w:rsid w:val="004133E3"/>
    <w:rsid w:val="0047201B"/>
    <w:rsid w:val="004749A0"/>
    <w:rsid w:val="004C085F"/>
    <w:rsid w:val="00550A3C"/>
    <w:rsid w:val="005C5F45"/>
    <w:rsid w:val="006164D9"/>
    <w:rsid w:val="00643C09"/>
    <w:rsid w:val="00647E6A"/>
    <w:rsid w:val="00707433"/>
    <w:rsid w:val="007F1389"/>
    <w:rsid w:val="00890368"/>
    <w:rsid w:val="008F16FF"/>
    <w:rsid w:val="008F2C1A"/>
    <w:rsid w:val="00964E27"/>
    <w:rsid w:val="00A41741"/>
    <w:rsid w:val="00A51528"/>
    <w:rsid w:val="00A86274"/>
    <w:rsid w:val="00BC12C8"/>
    <w:rsid w:val="00BC6270"/>
    <w:rsid w:val="00CE766C"/>
    <w:rsid w:val="00D36A1C"/>
    <w:rsid w:val="00D50991"/>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1210-D116-4A52-8572-F9B40DDE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50AFDDEB</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5</cp:revision>
  <dcterms:created xsi:type="dcterms:W3CDTF">2025-05-28T16:40:00Z</dcterms:created>
  <dcterms:modified xsi:type="dcterms:W3CDTF">2025-07-10T17:33:00Z</dcterms:modified>
</cp:coreProperties>
</file>